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71BE7" w14:textId="77777777" w:rsidR="005240B6" w:rsidRPr="009724E2" w:rsidRDefault="00E86BA8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lang w:eastAsia="zh-CN"/>
        </w:rPr>
      </w:pPr>
      <w:r w:rsidRPr="009724E2">
        <w:rPr>
          <w:rFonts w:ascii="Times New Roman" w:hAnsi="Times New Roman" w:cs="Times New Roman"/>
          <w:b/>
          <w:bCs/>
        </w:rPr>
        <w:t xml:space="preserve">SUPPLEMENTAL </w:t>
      </w:r>
      <w:r w:rsidRPr="009724E2">
        <w:rPr>
          <w:rFonts w:ascii="Times New Roman" w:eastAsia="宋体" w:hAnsi="Times New Roman" w:cs="Times New Roman" w:hint="eastAsia"/>
          <w:b/>
          <w:bCs/>
          <w:lang w:eastAsia="zh-CN"/>
        </w:rPr>
        <w:t>INFORMATION</w:t>
      </w:r>
    </w:p>
    <w:p w14:paraId="60B657FD" w14:textId="77777777" w:rsidR="005240B6" w:rsidRPr="009724E2" w:rsidRDefault="003D1E18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Supplementary Table 1</w:t>
      </w:r>
      <w:r w:rsidR="00E86BA8"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: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Collinearity diagnostics among the variables</w:t>
      </w:r>
      <w:r w:rsidR="00E86BA8"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.</w:t>
      </w:r>
    </w:p>
    <w:p w14:paraId="4E5A7467" w14:textId="77777777" w:rsidR="005240B6" w:rsidRPr="009724E2" w:rsidRDefault="003D1E18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Supplementary Table 2</w:t>
      </w:r>
      <w:r w:rsidR="00E86BA8"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: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Baseline clinical characteristics of patients stratified by the optimal cutoff point of the </w:t>
      </w:r>
      <w:r w:rsidR="00E86BA8"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TyG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index</w:t>
      </w:r>
    </w:p>
    <w:p w14:paraId="7F30780B" w14:textId="77777777" w:rsidR="005240B6" w:rsidRPr="009724E2" w:rsidRDefault="003D1E18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Supplementary Table 3</w:t>
      </w:r>
      <w:r w:rsidR="00E86BA8"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 xml:space="preserve">. 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Multiple-mediator analysis of the association between the T</w:t>
      </w:r>
      <w:r w:rsidR="00E86BA8"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y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G index and in-hospital malignant arrhythmias.</w:t>
      </w:r>
    </w:p>
    <w:p w14:paraId="017A3C08" w14:textId="77777777" w:rsidR="005240B6" w:rsidRPr="009724E2" w:rsidRDefault="003D1E18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Supplementary Fig. 1</w:t>
      </w:r>
      <w:r w:rsidR="00E86BA8" w:rsidRPr="009724E2">
        <w:rPr>
          <w:rFonts w:ascii="Times New Roman" w:eastAsia="宋体" w:hAnsi="Times New Roman" w:cs="Times New Roman" w:hint="eastAsia"/>
          <w:b/>
          <w:bCs/>
          <w:color w:val="000000" w:themeColor="text1"/>
          <w:sz w:val="22"/>
          <w:szCs w:val="22"/>
          <w:lang w:eastAsia="zh-CN"/>
        </w:rPr>
        <w:t>.</w:t>
      </w:r>
      <w:r w:rsidR="00E86BA8"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 xml:space="preserve"> </w:t>
      </w:r>
      <w:r w:rsidR="009724E2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ROC Curve and Best Threshold Value of the Triglyceride-Glucose Index for Predicting In-Hospital Malignant Arrhythmias</w:t>
      </w:r>
    </w:p>
    <w:p w14:paraId="495DA019" w14:textId="77777777" w:rsidR="005240B6" w:rsidRPr="009724E2" w:rsidRDefault="003D1E18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</w:rPr>
      </w:pPr>
      <w:r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</w:rPr>
        <w:t>Supplementary Fig. 2</w:t>
      </w:r>
      <w:r w:rsidR="00E86BA8"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</w:rPr>
        <w:t xml:space="preserve">. 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</w:rPr>
        <w:t xml:space="preserve">Kaplan-Meier survival curves for in-hospital malignant arrhythmias according to TYG index cut-off values. </w:t>
      </w:r>
    </w:p>
    <w:p w14:paraId="27D3CAD5" w14:textId="77777777" w:rsidR="005240B6" w:rsidRPr="009724E2" w:rsidRDefault="003D1E18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Supplementary Fig. 3</w:t>
      </w:r>
      <w:r w:rsidR="00E86BA8"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.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</w:t>
      </w:r>
      <w:r w:rsidR="009724E2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Exploratory pathway analysis of the association between the TyG index and in-hospital malignant arrhythmias involving SIRI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.</w:t>
      </w:r>
    </w:p>
    <w:p w14:paraId="031913F7" w14:textId="77777777" w:rsidR="005240B6" w:rsidRPr="009724E2" w:rsidRDefault="005240B6">
      <w:pPr>
        <w:spacing w:line="360" w:lineRule="auto"/>
        <w:rPr>
          <w:rFonts w:ascii="Times New Roman" w:hAnsi="Times New Roman" w:cs="Times New Roman"/>
        </w:rPr>
      </w:pPr>
    </w:p>
    <w:p w14:paraId="741FA240" w14:textId="77777777" w:rsidR="005240B6" w:rsidRPr="009724E2" w:rsidRDefault="005240B6">
      <w:pPr>
        <w:spacing w:line="360" w:lineRule="auto"/>
        <w:rPr>
          <w:rFonts w:ascii="Times New Roman" w:hAnsi="Times New Roman" w:cs="Times New Roman"/>
        </w:rPr>
        <w:sectPr w:rsidR="005240B6" w:rsidRPr="009724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CA061F1" w14:textId="77777777" w:rsidR="009724E2" w:rsidRPr="009724E2" w:rsidRDefault="00CC7795" w:rsidP="009724E2">
      <w:pPr>
        <w:spacing w:after="0"/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lastRenderedPageBreak/>
        <w:t>Supplementary Table 1</w:t>
      </w:r>
      <w:r w:rsidR="00E86BA8"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: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</w:t>
      </w:r>
      <w:r w:rsidR="009724E2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Collinearity diagnostics among the variables</w:t>
      </w:r>
      <w:r w:rsidR="009724E2"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.</w:t>
      </w:r>
    </w:p>
    <w:tbl>
      <w:tblPr>
        <w:tblStyle w:val="41"/>
        <w:tblW w:w="4997" w:type="pct"/>
        <w:tblLook w:val="04A0" w:firstRow="1" w:lastRow="0" w:firstColumn="1" w:lastColumn="0" w:noHBand="0" w:noVBand="1"/>
      </w:tblPr>
      <w:tblGrid>
        <w:gridCol w:w="2304"/>
        <w:gridCol w:w="1847"/>
        <w:gridCol w:w="1847"/>
        <w:gridCol w:w="2519"/>
      </w:tblGrid>
      <w:tr w:rsidR="009724E2" w:rsidRPr="009724E2" w14:paraId="142D819E" w14:textId="77777777" w:rsidTr="00F602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CDCDCD" w:themeFill="dark1" w:themeFillTint="32"/>
            <w:noWrap/>
            <w:vAlign w:val="center"/>
          </w:tcPr>
          <w:p w14:paraId="2FDA52AA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dark1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color w:val="000000" w:themeColor="dark1"/>
                <w:kern w:val="2"/>
                <w:sz w:val="20"/>
                <w:szCs w:val="20"/>
                <w:lang w:eastAsia="zh-CN"/>
              </w:rPr>
              <w:t>Variable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CDCDCD" w:themeFill="dark1" w:themeFillTint="32"/>
            <w:noWrap/>
            <w:vAlign w:val="center"/>
          </w:tcPr>
          <w:p w14:paraId="65A1FDD3" w14:textId="77777777" w:rsidR="009724E2" w:rsidRPr="009724E2" w:rsidRDefault="009724E2" w:rsidP="00F602A6">
            <w:pPr>
              <w:spacing w:after="0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dark1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color w:val="000000" w:themeColor="dark1"/>
                <w:kern w:val="2"/>
                <w:sz w:val="20"/>
                <w:szCs w:val="20"/>
                <w:lang w:eastAsia="zh-CN"/>
              </w:rPr>
              <w:t>GVIF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CDCDCD" w:themeFill="dark1" w:themeFillTint="32"/>
            <w:noWrap/>
            <w:vAlign w:val="center"/>
          </w:tcPr>
          <w:p w14:paraId="12937F17" w14:textId="77777777" w:rsidR="009724E2" w:rsidRPr="009724E2" w:rsidRDefault="009724E2" w:rsidP="00F602A6">
            <w:pPr>
              <w:spacing w:after="0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bCs w:val="0"/>
                <w:color w:val="000000" w:themeColor="dark1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Theme="minorEastAsia" w:hAnsi="Times New Roman" w:cs="Times New Roman" w:hint="eastAsia"/>
                <w:color w:val="000000" w:themeColor="dark1"/>
                <w:kern w:val="2"/>
                <w:sz w:val="20"/>
                <w:szCs w:val="20"/>
                <w:lang w:eastAsia="zh-CN"/>
              </w:rPr>
              <w:t>Df</w:t>
            </w:r>
          </w:p>
        </w:tc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CDCDCD" w:themeFill="dark1" w:themeFillTint="32"/>
            <w:noWrap/>
            <w:vAlign w:val="center"/>
          </w:tcPr>
          <w:p w14:paraId="3F7F5D5D" w14:textId="77777777" w:rsidR="009724E2" w:rsidRPr="009724E2" w:rsidRDefault="009724E2" w:rsidP="00F602A6">
            <w:pPr>
              <w:spacing w:after="0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dark1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color w:val="000000" w:themeColor="dark1"/>
                <w:kern w:val="2"/>
                <w:sz w:val="20"/>
                <w:szCs w:val="20"/>
                <w:lang w:eastAsia="zh-CN"/>
              </w:rPr>
              <w:t>GVIF^(1/(2*Df))</w:t>
            </w:r>
          </w:p>
        </w:tc>
      </w:tr>
      <w:tr w:rsidR="009724E2" w:rsidRPr="009724E2" w14:paraId="194CDF5F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D25328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T</w:t>
            </w:r>
            <w:r w:rsidRPr="009724E2">
              <w:rPr>
                <w:rFonts w:ascii="Times New Roman" w:eastAsia="Times New Roman" w:hAnsi="Times New Roman" w:cs="Times New Roman" w:hint="eastAsia"/>
                <w:bCs w:val="0"/>
                <w:color w:val="08090C"/>
                <w:kern w:val="2"/>
                <w:sz w:val="20"/>
                <w:szCs w:val="20"/>
                <w:lang w:eastAsia="zh-CN"/>
              </w:rPr>
              <w:t>y</w:t>
            </w: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CCE752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1.37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D2FAB3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E86A90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1.17</w:t>
            </w:r>
          </w:p>
        </w:tc>
      </w:tr>
      <w:tr w:rsidR="009724E2" w:rsidRPr="009724E2" w14:paraId="11FA6212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3521F6CF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Age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73063EFC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1.30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51AB36F1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30679CE2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1.14</w:t>
            </w:r>
          </w:p>
        </w:tc>
      </w:tr>
      <w:tr w:rsidR="009724E2" w:rsidRPr="009724E2" w14:paraId="7060EE74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910975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Gender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249AD4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1.78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54A23D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E0D539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1.33</w:t>
            </w:r>
          </w:p>
        </w:tc>
      </w:tr>
      <w:tr w:rsidR="009724E2" w:rsidRPr="009724E2" w14:paraId="3D35822E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51A8D6FE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Smoke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554CBC0B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1.91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7BD6CFCE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7AEEFB8E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1.38</w:t>
            </w:r>
          </w:p>
        </w:tc>
      </w:tr>
      <w:tr w:rsidR="009724E2" w:rsidRPr="009724E2" w14:paraId="55BBD729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CFE179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Alcohol consumption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09B2BA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1.45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1A6643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D1BFE7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1.20</w:t>
            </w:r>
          </w:p>
        </w:tc>
      </w:tr>
      <w:tr w:rsidR="009724E2" w:rsidRPr="009724E2" w14:paraId="0F9B671A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223A1C5C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Theme="minorEastAsia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Theme="minorEastAsia" w:hAnsi="Times New Roman" w:cs="Times New Roman" w:hint="eastAsia"/>
                <w:bCs w:val="0"/>
                <w:color w:val="08090C"/>
                <w:kern w:val="2"/>
                <w:sz w:val="20"/>
                <w:szCs w:val="20"/>
                <w:lang w:eastAsia="zh-CN"/>
              </w:rPr>
              <w:t>SBP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2A5EAE72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1.83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0D5707A9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5ECD935E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1.35</w:t>
            </w:r>
          </w:p>
        </w:tc>
      </w:tr>
      <w:tr w:rsidR="009724E2" w:rsidRPr="009724E2" w14:paraId="0EE57A1E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CEFDC7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Theme="minorEastAsia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Theme="minorEastAsia" w:hAnsi="Times New Roman" w:cs="Times New Roman" w:hint="eastAsia"/>
                <w:bCs w:val="0"/>
                <w:color w:val="08090C"/>
                <w:kern w:val="2"/>
                <w:sz w:val="20"/>
                <w:szCs w:val="20"/>
                <w:lang w:eastAsia="zh-CN"/>
              </w:rPr>
              <w:t>DBP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EA9103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1.94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C9F223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5AFE96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1.39</w:t>
            </w:r>
          </w:p>
        </w:tc>
      </w:tr>
      <w:tr w:rsidR="009724E2" w:rsidRPr="009724E2" w14:paraId="2443DFEE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148A782A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Theme="minorEastAsia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Theme="minorEastAsia" w:hAnsi="Times New Roman" w:cs="Times New Roman" w:hint="eastAsia"/>
                <w:bCs w:val="0"/>
                <w:color w:val="08090C"/>
                <w:kern w:val="2"/>
                <w:sz w:val="20"/>
                <w:szCs w:val="20"/>
                <w:lang w:eastAsia="zh-CN"/>
              </w:rPr>
              <w:t>BMI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1F309DA1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1.09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271BF013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75D5C06C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1.04</w:t>
            </w:r>
          </w:p>
        </w:tc>
      </w:tr>
      <w:tr w:rsidR="009724E2" w:rsidRPr="009724E2" w14:paraId="7786C60E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F26821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TC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919C72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1.12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2B8ED2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12B3C0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1.06</w:t>
            </w:r>
          </w:p>
        </w:tc>
      </w:tr>
      <w:tr w:rsidR="009724E2" w:rsidRPr="009724E2" w14:paraId="475B77E8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690A37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LDL-C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B98EA9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1.32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A2C974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173BBC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1.15</w:t>
            </w:r>
          </w:p>
        </w:tc>
      </w:tr>
      <w:tr w:rsidR="009724E2" w:rsidRPr="009724E2" w14:paraId="0E9EC5F3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1B13EC9B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HDL-C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6668AA4F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1.78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585A74C9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213F25ED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1.33</w:t>
            </w:r>
          </w:p>
        </w:tc>
      </w:tr>
      <w:tr w:rsidR="009724E2" w:rsidRPr="009724E2" w14:paraId="1BD3B642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1CAE60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eGFR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5A946E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1.67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FD2E07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DBBC4E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1.29</w:t>
            </w:r>
          </w:p>
        </w:tc>
      </w:tr>
      <w:tr w:rsidR="009724E2" w:rsidRPr="009724E2" w14:paraId="372CF286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03C51D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BNP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ADB9C9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1.80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BD1C1B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EBE13F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1.34</w:t>
            </w:r>
          </w:p>
        </w:tc>
      </w:tr>
      <w:tr w:rsidR="009724E2" w:rsidRPr="009724E2" w14:paraId="7518BDAD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5260C0D7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Hyperlipidemia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64D2E0DA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1.65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090908DB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3AA55E20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1.28</w:t>
            </w:r>
          </w:p>
        </w:tc>
      </w:tr>
      <w:tr w:rsidR="009724E2" w:rsidRPr="009724E2" w14:paraId="79BBFF88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317DB3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/>
                <w:bCs w:val="0"/>
                <w:color w:val="08090C"/>
                <w:kern w:val="2"/>
                <w:sz w:val="20"/>
                <w:szCs w:val="20"/>
                <w:lang w:eastAsia="zh-CN"/>
              </w:rPr>
              <w:t>Hypertension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B00C93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1.20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DF475B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C153E3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1.10</w:t>
            </w:r>
          </w:p>
        </w:tc>
      </w:tr>
      <w:tr w:rsidR="009724E2" w:rsidRPr="009724E2" w14:paraId="49E0569F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3C46FCF7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微软雅黑" w:hAnsi="Times New Roman" w:cs="Times New Roman"/>
                <w:bCs w:val="0"/>
                <w:color w:val="08090C"/>
                <w:sz w:val="20"/>
                <w:szCs w:val="20"/>
                <w:lang w:eastAsia="zh-CN" w:bidi="ar"/>
              </w:rPr>
              <w:t>ACEI/ARB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0A63739D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1.31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24570662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399CA7DB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1.14</w:t>
            </w:r>
          </w:p>
        </w:tc>
      </w:tr>
      <w:tr w:rsidR="009724E2" w:rsidRPr="009724E2" w14:paraId="7A05A227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67F857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微软雅黑" w:hAnsi="Times New Roman" w:cs="Times New Roman"/>
                <w:bCs w:val="0"/>
                <w:color w:val="08090C"/>
                <w:sz w:val="20"/>
                <w:szCs w:val="20"/>
                <w:lang w:eastAsia="zh-CN" w:bidi="ar"/>
              </w:rPr>
              <w:t>Lipid lowering drug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AEEEA2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2.46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058C34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E06814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1.57</w:t>
            </w:r>
          </w:p>
        </w:tc>
      </w:tr>
      <w:tr w:rsidR="009724E2" w:rsidRPr="009724E2" w14:paraId="47D397B1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452A98AB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Times New Roman" w:hAnsi="Times New Roman" w:cs="Times New Roman"/>
                <w:b w:val="0"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微软雅黑" w:hAnsi="Times New Roman" w:cs="Times New Roman" w:hint="eastAsia"/>
                <w:bCs w:val="0"/>
                <w:color w:val="08090C"/>
                <w:sz w:val="20"/>
                <w:szCs w:val="20"/>
                <w:lang w:eastAsia="zh-CN" w:bidi="ar"/>
              </w:rPr>
              <w:t>Beta-blocker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0E2FC48C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2.40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5993DBF7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186A79E9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1.55</w:t>
            </w:r>
          </w:p>
        </w:tc>
      </w:tr>
      <w:tr w:rsidR="009724E2" w:rsidRPr="009724E2" w14:paraId="5AB5DDFF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6F360C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 w:hint="eastAsia"/>
                <w:bCs w:val="0"/>
                <w:color w:val="08090C"/>
                <w:sz w:val="20"/>
                <w:szCs w:val="20"/>
                <w:lang w:eastAsia="zh-CN" w:bidi="ar"/>
              </w:rPr>
              <w:t>Aldosterone antagonist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792E8C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1.64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FB6F94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F43584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1.28</w:t>
            </w:r>
          </w:p>
        </w:tc>
      </w:tr>
      <w:tr w:rsidR="009724E2" w:rsidRPr="009724E2" w14:paraId="01B544EE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0E125FB3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 w:hint="eastAsia"/>
                <w:bCs w:val="0"/>
                <w:color w:val="08090C"/>
                <w:sz w:val="20"/>
                <w:szCs w:val="20"/>
                <w:lang w:eastAsia="zh-CN" w:bidi="ar"/>
              </w:rPr>
              <w:t>Antiarrhythmic drugs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71EE0441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1.15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53263496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7BBC4BCF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1.07</w:t>
            </w:r>
          </w:p>
        </w:tc>
      </w:tr>
      <w:tr w:rsidR="009724E2" w:rsidRPr="009724E2" w14:paraId="7BE86BE0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221456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 w:hint="eastAsia"/>
                <w:bCs w:val="0"/>
                <w:color w:val="08090C"/>
                <w:sz w:val="20"/>
                <w:szCs w:val="20"/>
                <w:lang w:eastAsia="zh-CN" w:bidi="ar"/>
              </w:rPr>
              <w:t>LVDS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72F1BA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3.06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B025D1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A79413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1.75</w:t>
            </w:r>
          </w:p>
        </w:tc>
      </w:tr>
      <w:tr w:rsidR="009724E2" w:rsidRPr="009724E2" w14:paraId="3F49D5AC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1E7F5B73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 w:hint="eastAsia"/>
                <w:bCs w:val="0"/>
                <w:color w:val="08090C"/>
                <w:sz w:val="20"/>
                <w:szCs w:val="20"/>
                <w:lang w:eastAsia="zh-CN" w:bidi="ar"/>
              </w:rPr>
              <w:t>LVEDD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16E413FC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2.99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46DF6FC8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04D01F35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1.73</w:t>
            </w:r>
          </w:p>
        </w:tc>
      </w:tr>
      <w:tr w:rsidR="009724E2" w:rsidRPr="009724E2" w14:paraId="0EC9D4D4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9701C7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 w:hint="eastAsia"/>
                <w:bCs w:val="0"/>
                <w:color w:val="08090C"/>
                <w:sz w:val="20"/>
                <w:szCs w:val="20"/>
                <w:lang w:eastAsia="zh-CN" w:bidi="ar"/>
              </w:rPr>
              <w:t>LVEF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2BDE0C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1.16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F25962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5BFB71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1.08</w:t>
            </w:r>
          </w:p>
        </w:tc>
      </w:tr>
      <w:tr w:rsidR="009724E2" w:rsidRPr="009724E2" w14:paraId="54ADFCC2" w14:textId="77777777" w:rsidTr="00F602A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6FF67406" w14:textId="77777777" w:rsidR="009724E2" w:rsidRPr="009724E2" w:rsidRDefault="009724E2" w:rsidP="00F602A6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 w:hint="eastAsia"/>
                <w:bCs w:val="0"/>
                <w:color w:val="08090C"/>
                <w:sz w:val="20"/>
                <w:szCs w:val="20"/>
                <w:lang w:eastAsia="zh-CN" w:bidi="ar"/>
              </w:rPr>
              <w:t>PCI status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5CCDEE0F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1.21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6332943B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center"/>
          </w:tcPr>
          <w:p w14:paraId="266D9305" w14:textId="77777777" w:rsidR="009724E2" w:rsidRPr="009724E2" w:rsidRDefault="009724E2" w:rsidP="00F602A6">
            <w:pPr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8090C"/>
                <w:kern w:val="2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="Times New Roman" w:hAnsi="Times New Roman" w:cs="Times New Roman" w:hint="eastAsia"/>
                <w:bCs/>
                <w:color w:val="08090C"/>
                <w:kern w:val="2"/>
                <w:sz w:val="20"/>
                <w:szCs w:val="20"/>
                <w:lang w:eastAsia="zh-CN"/>
              </w:rPr>
              <w:t>1.05</w:t>
            </w:r>
          </w:p>
        </w:tc>
      </w:tr>
    </w:tbl>
    <w:p w14:paraId="31C6856E" w14:textId="77777777" w:rsidR="009724E2" w:rsidRPr="009724E2" w:rsidRDefault="009724E2" w:rsidP="009724E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724E2">
        <w:rPr>
          <w:rFonts w:ascii="Times New Roman" w:eastAsia="微软雅黑" w:hAnsi="Times New Roman" w:cs="Times New Roman"/>
          <w:color w:val="000000" w:themeColor="text1"/>
          <w:sz w:val="22"/>
          <w:szCs w:val="22"/>
        </w:rPr>
        <w:t>Abbreviations</w:t>
      </w:r>
      <w:r w:rsidRPr="009724E2">
        <w:rPr>
          <w:rFonts w:ascii="Times New Roman" w:eastAsia="微软雅黑" w:hAnsi="Times New Roman" w:cs="Times New Roman"/>
          <w:color w:val="000000" w:themeColor="text1"/>
          <w:sz w:val="22"/>
          <w:szCs w:val="22"/>
          <w:lang w:eastAsia="zh-CN"/>
        </w:rPr>
        <w:t xml:space="preserve">: </w:t>
      </w:r>
      <w:r w:rsidRPr="009724E2">
        <w:rPr>
          <w:rStyle w:val="a4"/>
          <w:rFonts w:ascii="Times New Roman" w:eastAsia="宋体" w:hAnsi="Times New Roman" w:cs="Times New Roman"/>
          <w:b w:val="0"/>
          <w:bCs/>
          <w:sz w:val="22"/>
          <w:szCs w:val="22"/>
        </w:rPr>
        <w:t>GVIF</w:t>
      </w:r>
      <w:r w:rsidRPr="009724E2">
        <w:rPr>
          <w:rFonts w:ascii="Times New Roman" w:eastAsia="宋体" w:hAnsi="Times New Roman" w:cs="Times New Roman"/>
          <w:bCs/>
          <w:sz w:val="22"/>
          <w:szCs w:val="22"/>
          <w:lang w:eastAsia="zh-CN"/>
        </w:rPr>
        <w:t xml:space="preserve">, </w:t>
      </w:r>
      <w:r w:rsidRPr="009724E2">
        <w:rPr>
          <w:rStyle w:val="a4"/>
          <w:rFonts w:ascii="Times New Roman" w:eastAsia="宋体" w:hAnsi="Times New Roman" w:cs="Times New Roman"/>
          <w:b w:val="0"/>
          <w:bCs/>
          <w:sz w:val="22"/>
          <w:szCs w:val="22"/>
        </w:rPr>
        <w:t>Generalized Variance Inflation Factor</w:t>
      </w:r>
      <w:r w:rsidRPr="009724E2">
        <w:rPr>
          <w:rStyle w:val="a4"/>
          <w:rFonts w:ascii="Times New Roman" w:eastAsia="宋体" w:hAnsi="Times New Roman" w:cs="Times New Roman"/>
          <w:b w:val="0"/>
          <w:bCs/>
          <w:sz w:val="22"/>
          <w:szCs w:val="22"/>
          <w:lang w:eastAsia="zh-CN"/>
        </w:rPr>
        <w:t xml:space="preserve">; </w:t>
      </w:r>
      <w:r w:rsidRPr="009724E2">
        <w:rPr>
          <w:rStyle w:val="a4"/>
          <w:rFonts w:ascii="Times New Roman" w:eastAsia="宋体" w:hAnsi="Times New Roman" w:cs="Times New Roman" w:hint="eastAsia"/>
          <w:b w:val="0"/>
          <w:bCs/>
          <w:sz w:val="22"/>
          <w:szCs w:val="22"/>
          <w:lang w:eastAsia="zh-CN"/>
        </w:rPr>
        <w:t>Df</w:t>
      </w:r>
      <w:r w:rsidRPr="009724E2">
        <w:rPr>
          <w:rFonts w:ascii="Times New Roman" w:eastAsia="宋体" w:hAnsi="Times New Roman" w:cs="Times New Roman" w:hint="eastAsia"/>
          <w:bCs/>
          <w:sz w:val="22"/>
          <w:szCs w:val="22"/>
          <w:lang w:eastAsia="zh-CN"/>
        </w:rPr>
        <w:t xml:space="preserve">: </w:t>
      </w:r>
      <w:r w:rsidRPr="009724E2">
        <w:rPr>
          <w:rStyle w:val="a4"/>
          <w:rFonts w:ascii="Times New Roman" w:eastAsia="宋体" w:hAnsi="Times New Roman" w:cs="Times New Roman"/>
          <w:b w:val="0"/>
          <w:bCs/>
          <w:sz w:val="22"/>
          <w:szCs w:val="22"/>
        </w:rPr>
        <w:t>Degrees of Freedom</w:t>
      </w:r>
      <w:r w:rsidRPr="009724E2">
        <w:rPr>
          <w:rStyle w:val="a4"/>
          <w:rFonts w:ascii="Times New Roman" w:eastAsia="宋体" w:hAnsi="Times New Roman" w:cs="Times New Roman"/>
          <w:b w:val="0"/>
          <w:bCs/>
          <w:sz w:val="22"/>
          <w:szCs w:val="22"/>
          <w:lang w:eastAsia="zh-CN"/>
        </w:rPr>
        <w:t>;</w:t>
      </w:r>
      <w:r w:rsidRPr="009724E2">
        <w:rPr>
          <w:rFonts w:ascii="Times New Roman" w:eastAsia="微软雅黑" w:hAnsi="Times New Roman" w:cs="Times New Roman"/>
          <w:color w:val="000000" w:themeColor="text1"/>
          <w:sz w:val="22"/>
          <w:szCs w:val="22"/>
          <w:lang w:eastAsia="zh-CN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T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Y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G, Triglyceride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Glucose Index;</w:t>
      </w:r>
      <w:r w:rsidRPr="009724E2">
        <w:rPr>
          <w:rStyle w:val="a4"/>
          <w:rFonts w:ascii="Times New Roman" w:eastAsia="宋体" w:hAnsi="Times New Roman" w:cs="Times New Roman"/>
          <w:bCs/>
          <w:color w:val="060607"/>
          <w:spacing w:val="3"/>
          <w:sz w:val="22"/>
          <w:szCs w:val="22"/>
          <w:shd w:val="clear" w:color="auto" w:fill="FFFFFF"/>
          <w:lang w:eastAsia="zh-CN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BMI, Body mass index; SBP, systolic blood pressure; DBP, diastolic blood pressure; eGFR, Estimated Glomerular Filtration Rate; BNP, B-type Natriuretic Peptide; TC, Serum Total Cholesterol; 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LDL-C, Low-density lipoprotein cholesterol; HDL-C, High-density lipoprotein cholesterol;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 xml:space="preserve"> ACEI, angiotensin-converting enzyme inhibitor</w:t>
      </w:r>
      <w:r w:rsidRPr="009724E2">
        <w:rPr>
          <w:rFonts w:ascii="Cambria" w:eastAsia="宋体" w:hAnsi="Cambria" w:cs="Cambria"/>
          <w:color w:val="000000" w:themeColor="text1"/>
          <w:sz w:val="22"/>
          <w:szCs w:val="22"/>
          <w:lang w:eastAsia="zh-CN"/>
        </w:rPr>
        <w:t>;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ARB, 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A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ngiotensin II receptor blocker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;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 xml:space="preserve">PCI, percutaneous coronary intervention;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LVDS, Left Ventricular End-Systolic Dimension; LVEDD, Left Ventricular End-Diastolic Diameter; LVEF, Left Ventricular Ejection Fraction.</w:t>
      </w:r>
    </w:p>
    <w:p w14:paraId="27F99678" w14:textId="77777777" w:rsidR="009724E2" w:rsidRPr="009724E2" w:rsidRDefault="009724E2" w:rsidP="009724E2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2D0E3457" w14:textId="77777777" w:rsidR="005240B6" w:rsidRPr="009724E2" w:rsidRDefault="005240B6" w:rsidP="009724E2">
      <w:pPr>
        <w:spacing w:after="0"/>
        <w:rPr>
          <w:rFonts w:ascii="Times New Roman" w:hAnsi="Times New Roman" w:cs="Times New Roman"/>
        </w:rPr>
        <w:sectPr w:rsidR="005240B6" w:rsidRPr="009724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FAB0AB" w14:textId="77777777" w:rsidR="005240B6" w:rsidRPr="009724E2" w:rsidRDefault="00CC7795">
      <w:pPr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lastRenderedPageBreak/>
        <w:t>Supplementary Table 2</w:t>
      </w:r>
      <w:r w:rsidR="00E86BA8"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: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Baseline clinical characteristics of patients stratified by the optimal cutoff point of the </w:t>
      </w:r>
      <w:r w:rsidR="00E86BA8"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TyG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index</w:t>
      </w:r>
    </w:p>
    <w:tbl>
      <w:tblPr>
        <w:tblStyle w:val="41"/>
        <w:tblpPr w:leftFromText="180" w:rightFromText="180" w:vertAnchor="text" w:horzAnchor="page" w:tblpX="220" w:tblpY="661"/>
        <w:tblW w:w="6733" w:type="pct"/>
        <w:tblBorders>
          <w:top w:val="single" w:sz="2" w:space="0" w:color="000000" w:themeColor="text1"/>
          <w:bottom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207"/>
        <w:gridCol w:w="2324"/>
        <w:gridCol w:w="2433"/>
        <w:gridCol w:w="2236"/>
        <w:gridCol w:w="1276"/>
      </w:tblGrid>
      <w:tr w:rsidR="005240B6" w:rsidRPr="009724E2" w14:paraId="4B3F43A0" w14:textId="77777777" w:rsidTr="00524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tcBorders>
              <w:top w:val="nil"/>
              <w:bottom w:val="nil"/>
            </w:tcBorders>
            <w:shd w:val="clear" w:color="auto" w:fill="CDCDCD" w:themeFill="dark1" w:themeFillTint="32"/>
            <w:noWrap/>
            <w:vAlign w:val="center"/>
          </w:tcPr>
          <w:p w14:paraId="70585966" w14:textId="77777777" w:rsidR="005240B6" w:rsidRPr="009724E2" w:rsidRDefault="00E86BA8">
            <w:pPr>
              <w:spacing w:after="0"/>
              <w:jc w:val="center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00000" w:themeColor="dark1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00000" w:themeColor="dark1"/>
                <w:sz w:val="18"/>
                <w:szCs w:val="18"/>
                <w:lang w:bidi="ar"/>
              </w:rPr>
              <w:t>Variable</w:t>
            </w:r>
            <w:r w:rsidRPr="009724E2">
              <w:rPr>
                <w:rFonts w:ascii="Times New Roman" w:eastAsia="微软雅黑" w:hAnsi="Times New Roman" w:cs="Times New Roman"/>
                <w:color w:val="000000" w:themeColor="dark1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2324" w:type="dxa"/>
            <w:tcBorders>
              <w:top w:val="nil"/>
              <w:bottom w:val="nil"/>
            </w:tcBorders>
            <w:shd w:val="clear" w:color="auto" w:fill="CDCDCD" w:themeFill="dark1" w:themeFillTint="32"/>
            <w:noWrap/>
            <w:vAlign w:val="center"/>
          </w:tcPr>
          <w:p w14:paraId="086A90A0" w14:textId="77777777" w:rsidR="005240B6" w:rsidRPr="009724E2" w:rsidRDefault="00E86BA8">
            <w:pPr>
              <w:spacing w:after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color w:val="000000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</w:p>
        </w:tc>
        <w:tc>
          <w:tcPr>
            <w:tcW w:w="2433" w:type="dxa"/>
            <w:tcBorders>
              <w:top w:val="nil"/>
              <w:bottom w:val="nil"/>
            </w:tcBorders>
            <w:shd w:val="clear" w:color="auto" w:fill="CDCDCD" w:themeFill="dark1" w:themeFillTint="32"/>
            <w:noWrap/>
            <w:vAlign w:val="center"/>
          </w:tcPr>
          <w:p w14:paraId="7B3AF342" w14:textId="77777777" w:rsidR="005240B6" w:rsidRPr="009724E2" w:rsidRDefault="00E86BA8">
            <w:pPr>
              <w:spacing w:after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color w:val="000000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hAnsi="Times New Roman" w:cs="Times New Roman"/>
                <w:sz w:val="20"/>
                <w:szCs w:val="20"/>
              </w:rPr>
              <w:t>LOW T</w:t>
            </w:r>
            <w:r w:rsidRPr="009724E2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y</w:t>
            </w:r>
            <w:r w:rsidRPr="009724E2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724E2"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  <w:t xml:space="preserve"> </w:t>
            </w:r>
            <w:r w:rsidRPr="009724E2">
              <w:rPr>
                <w:rFonts w:ascii="Times New Roman" w:hAnsi="Times New Roman" w:cs="Times New Roman"/>
                <w:sz w:val="20"/>
                <w:szCs w:val="20"/>
              </w:rPr>
              <w:t xml:space="preserve">(N = </w:t>
            </w:r>
            <w:r w:rsidRPr="009724E2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388</w:t>
            </w:r>
            <w:r w:rsidRPr="009724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CDCDCD" w:themeFill="dark1" w:themeFillTint="32"/>
            <w:noWrap/>
            <w:vAlign w:val="center"/>
          </w:tcPr>
          <w:p w14:paraId="1F932077" w14:textId="77777777" w:rsidR="005240B6" w:rsidRPr="009724E2" w:rsidRDefault="00E86BA8">
            <w:pPr>
              <w:spacing w:after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color w:val="000000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hAnsi="Times New Roman" w:cs="Times New Roman"/>
                <w:sz w:val="20"/>
                <w:szCs w:val="20"/>
              </w:rPr>
              <w:t>HIGH T</w:t>
            </w:r>
            <w:r w:rsidRPr="009724E2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y</w:t>
            </w:r>
            <w:r w:rsidRPr="009724E2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9724E2">
              <w:rPr>
                <w:rFonts w:ascii="Times New Roman" w:eastAsiaTheme="minorEastAsia" w:hAnsi="Times New Roman" w:cs="Times New Roman"/>
                <w:sz w:val="20"/>
                <w:szCs w:val="20"/>
                <w:lang w:eastAsia="zh-CN"/>
              </w:rPr>
              <w:t xml:space="preserve"> </w:t>
            </w:r>
            <w:r w:rsidRPr="009724E2">
              <w:rPr>
                <w:rFonts w:ascii="Times New Roman" w:hAnsi="Times New Roman" w:cs="Times New Roman"/>
                <w:sz w:val="20"/>
                <w:szCs w:val="20"/>
              </w:rPr>
              <w:t xml:space="preserve">(N = </w:t>
            </w:r>
            <w:r w:rsidRPr="009724E2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267</w:t>
            </w:r>
            <w:r w:rsidRPr="009724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CDCDCD" w:themeFill="dark1" w:themeFillTint="32"/>
            <w:noWrap/>
            <w:vAlign w:val="center"/>
          </w:tcPr>
          <w:p w14:paraId="6A5147E0" w14:textId="77777777" w:rsidR="005240B6" w:rsidRPr="009724E2" w:rsidRDefault="00E86BA8">
            <w:pPr>
              <w:spacing w:after="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color w:val="000000" w:themeColor="dark1"/>
                <w:sz w:val="20"/>
                <w:szCs w:val="20"/>
                <w:lang w:eastAsia="zh-CN"/>
              </w:rPr>
            </w:pPr>
            <w:r w:rsidRPr="009724E2">
              <w:rPr>
                <w:rFonts w:ascii="Times New Roman" w:eastAsiaTheme="minorEastAsia" w:hAnsi="Times New Roman" w:cs="Times New Roman"/>
                <w:iCs/>
                <w:color w:val="000000" w:themeColor="dark1"/>
                <w:sz w:val="20"/>
                <w:szCs w:val="20"/>
                <w:lang w:eastAsia="zh-CN"/>
              </w:rPr>
              <w:t>p</w:t>
            </w:r>
            <w:r w:rsidRPr="009724E2">
              <w:rPr>
                <w:rFonts w:ascii="Times New Roman" w:eastAsiaTheme="minorEastAsia" w:hAnsi="Times New Roman" w:cs="Times New Roman"/>
                <w:bCs w:val="0"/>
                <w:color w:val="000000" w:themeColor="dark1"/>
                <w:sz w:val="20"/>
                <w:szCs w:val="20"/>
                <w:lang w:eastAsia="zh-CN"/>
              </w:rPr>
              <w:t xml:space="preserve"> </w:t>
            </w:r>
            <w:r w:rsidRPr="009724E2">
              <w:rPr>
                <w:rFonts w:ascii="Times New Roman" w:hAnsi="Times New Roman" w:cs="Times New Roman"/>
                <w:color w:val="000000" w:themeColor="dark1"/>
                <w:sz w:val="20"/>
                <w:szCs w:val="20"/>
              </w:rPr>
              <w:t>value</w:t>
            </w:r>
          </w:p>
        </w:tc>
      </w:tr>
      <w:tr w:rsidR="005240B6" w:rsidRPr="009724E2" w14:paraId="6F215F43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tcBorders>
              <w:top w:val="nil"/>
            </w:tcBorders>
            <w:shd w:val="clear" w:color="auto" w:fill="FFFFFF"/>
            <w:noWrap/>
            <w:vAlign w:val="center"/>
          </w:tcPr>
          <w:p w14:paraId="55123681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T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y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G</w:t>
            </w:r>
          </w:p>
        </w:tc>
        <w:tc>
          <w:tcPr>
            <w:tcW w:w="2324" w:type="dxa"/>
            <w:tcBorders>
              <w:top w:val="nil"/>
            </w:tcBorders>
            <w:shd w:val="clear" w:color="auto" w:fill="FFFFFF"/>
            <w:noWrap/>
            <w:vAlign w:val="center"/>
          </w:tcPr>
          <w:p w14:paraId="36C1C37D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8.82 (8.42-9.33)</w:t>
            </w:r>
          </w:p>
        </w:tc>
        <w:tc>
          <w:tcPr>
            <w:tcW w:w="2433" w:type="dxa"/>
            <w:tcBorders>
              <w:top w:val="nil"/>
            </w:tcBorders>
            <w:shd w:val="clear" w:color="auto" w:fill="FFFFFF"/>
            <w:noWrap/>
            <w:vAlign w:val="center"/>
          </w:tcPr>
          <w:p w14:paraId="427556F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8.51 (8.19-8.74)</w:t>
            </w:r>
          </w:p>
        </w:tc>
        <w:tc>
          <w:tcPr>
            <w:tcW w:w="2236" w:type="dxa"/>
            <w:tcBorders>
              <w:top w:val="nil"/>
            </w:tcBorders>
            <w:shd w:val="clear" w:color="auto" w:fill="FFFFFF"/>
            <w:noWrap/>
            <w:vAlign w:val="center"/>
          </w:tcPr>
          <w:p w14:paraId="2A9649A7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9.45 (9.22-9.80)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noWrap/>
            <w:vAlign w:val="center"/>
          </w:tcPr>
          <w:p w14:paraId="6294522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3290807B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6E508227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Age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219DF2E7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75.00 (68.00-79.00)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437C4E9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75.50 (70.00-80.00)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12DF4242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73.00 (66.50-78.00)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19FDA430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4BCDD0FE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6C9DCD9E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Male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s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, n (%)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7CE6058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377 (57.56%)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1F700CCD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258 (66.49%)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28A7E3D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119 (44.57%)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4BDBD6D7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67BD790A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31D786C7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BMI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345A465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23.54 (21.64, 25.71)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0649BE2B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23.14 (20.96, 25.67)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5611386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23.78 (22.05, 25.71)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6DAED8BB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0.061</w:t>
            </w:r>
          </w:p>
        </w:tc>
      </w:tr>
      <w:tr w:rsidR="005240B6" w:rsidRPr="009724E2" w14:paraId="4D7BA28C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6AD95F41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Smoke, n (%)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30282CA9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226 (34.50%)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1046268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159 (40.98%)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6E41391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67 (25.09%)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573954EB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2428E9CC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1B17B346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Alcohol consumption,n (%)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774532C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114 (17.40%)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34BB19C0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72 (18.56%)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08D7999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42 (15.73%)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522D0515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0.405</w:t>
            </w:r>
          </w:p>
        </w:tc>
      </w:tr>
      <w:tr w:rsidR="005240B6" w:rsidRPr="009724E2" w14:paraId="4CEE982C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509DF18E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SBP (mmHg)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5648A22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115.00 (103.00-130.00)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3B80F27B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114.00 (103.00-128.25)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5CE3236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116.00 (103.50-131.50)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10D16A7B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0.152</w:t>
            </w:r>
          </w:p>
        </w:tc>
      </w:tr>
      <w:tr w:rsidR="005240B6" w:rsidRPr="009724E2" w14:paraId="202397BE" w14:textId="77777777" w:rsidTr="005240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78509F41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DBP (mmHg)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47FA878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68.00 (61.00-75.00)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712F580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67.00 (61.00-74.00)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4051180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68.00 (61.00-75.50)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0212A3D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0.135</w:t>
            </w:r>
          </w:p>
        </w:tc>
      </w:tr>
      <w:tr w:rsidR="005240B6" w:rsidRPr="009724E2" w14:paraId="6C8BE0DE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10810F72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eGFR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423A5477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66.40 (45.40-85.90)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52C74115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67.70 (50.13-84.50)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41189307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64.60 (39.00-87.95)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66CD498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0.165</w:t>
            </w:r>
          </w:p>
        </w:tc>
      </w:tr>
      <w:tr w:rsidR="005240B6" w:rsidRPr="009724E2" w14:paraId="7C57D3E2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4D3E9065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HbA1c (%)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74365452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7.30 (6.40-8.40)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634DC1A0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7.00 (6.20-8.00)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390A106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7.60 (6.70-9.10)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52254F1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57E3BADA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50687D96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BNP (mmol/L)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53A6C054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852.00 (384.00-1850.50)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3F2D326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840.00 (348.50-1681.00)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43F2813D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925.00 (446.00-1925.50)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4954DE5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0.422</w:t>
            </w:r>
          </w:p>
        </w:tc>
      </w:tr>
      <w:tr w:rsidR="005240B6" w:rsidRPr="009724E2" w14:paraId="3F3C89F2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56841CF4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TC (mmol/L)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25579BB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2.72 (0.74-4.27)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2CFDF54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2.81 (0.64-4.16)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25B876C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2.42 (0.89-4.56)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30B2323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0.075</w:t>
            </w:r>
          </w:p>
        </w:tc>
      </w:tr>
      <w:tr w:rsidR="005240B6" w:rsidRPr="009724E2" w14:paraId="4F791AB7" w14:textId="77777777" w:rsidTr="005240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1084E454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TG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 xml:space="preserve"> (mmol/L)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5538351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1.22 (0.92-1.69)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6858C31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1.00 (0.80-1.24)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304205A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1.75 (1.37-2.20)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6FDEC00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6EB5AB38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7402C069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LDL-C (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 xml:space="preserve"> 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mol/L)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289C657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2.59 (2.05-3.23)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12EE7B9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2.50 (1.90-3.06)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62087AD7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2.78 (2.17-3.53)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7A5D774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1CE10BA9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4A7667AC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HDL-C (mmol/L)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3B7413B7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0.98 (0.80-1.17)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6F25325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0.99 (0.82-1.17)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01090BCD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0.95 (0.78-1.17)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5316630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0.578</w:t>
            </w:r>
          </w:p>
        </w:tc>
      </w:tr>
      <w:tr w:rsidR="005240B6" w:rsidRPr="009724E2" w14:paraId="4A224154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00891FBA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CRP (mg/L)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2792C11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26.20 (9.90-65.55)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4405803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24.60 (8.18-62.13)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2215B26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31.40 (12.45-71.10)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356A4D3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0.002</w:t>
            </w:r>
          </w:p>
        </w:tc>
      </w:tr>
      <w:tr w:rsidR="005240B6" w:rsidRPr="009724E2" w14:paraId="453CC078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1F310C62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WBC (×10^9/L)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37B4CF6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8.37 (6.44-11.13)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2E85D7B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7.80 (5.92-10.09)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5FB283BD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9.70 (7.39-12.20)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5E74E33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454C4529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46B08420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NE (×10^9/L)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7CC992D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6.00 (4.09-8.88)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5C14474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5.43 (3.72-7.72)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10FF8015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7.20 (5.00-9.98)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34E160D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2B47387C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1A060CD0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L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ymphocyte (×10^9/L)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75265602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1.40 (1.02-1.80)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5ABE91B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1.36 (1.00-1.77)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5BEA328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1.41 (1.10-1.85)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42A0BB8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0.011</w:t>
            </w:r>
          </w:p>
        </w:tc>
      </w:tr>
      <w:tr w:rsidR="005240B6" w:rsidRPr="009724E2" w14:paraId="14C7D7EA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664EABFC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Monocytes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 xml:space="preserve"> (×10^9/L)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7328D290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0.60 (0.43-0.88)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0022CD5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0.60 (0.40-0.80)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522CFD64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0.64 (0.48-0.98)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2301BD4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0.003</w:t>
            </w:r>
          </w:p>
        </w:tc>
      </w:tr>
      <w:tr w:rsidR="005240B6" w:rsidRPr="009724E2" w14:paraId="369B5B83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51B2F48A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Hyperlipidemia, n (%)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595C2560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515 (78.63%)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3F12CC8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279 (71.91%)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4F3C8200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236 (88.39%)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5F540D9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0A755FC6" w14:textId="77777777" w:rsidTr="005240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011286C3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Hypertension, n (%)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3EC895F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395 (60.31%)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302E2E9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211 (54.38%)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76BE914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184 (68.91%)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07D827A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377565ED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53E7F450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ACEI/ARB, n (%)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0494828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295 (45.04%)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5060F46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177 (45.62%)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328CC81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118 (44.19%)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5DE50ECB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0.779</w:t>
            </w:r>
          </w:p>
        </w:tc>
      </w:tr>
      <w:tr w:rsidR="005240B6" w:rsidRPr="009724E2" w14:paraId="66D06F35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tcBorders>
              <w:top w:val="nil"/>
            </w:tcBorders>
            <w:shd w:val="clear" w:color="auto" w:fill="F2F2F2"/>
            <w:noWrap/>
            <w:vAlign w:val="center"/>
          </w:tcPr>
          <w:p w14:paraId="2DD40952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Lipid lowering drug, n (%)</w:t>
            </w:r>
          </w:p>
        </w:tc>
        <w:tc>
          <w:tcPr>
            <w:tcW w:w="2324" w:type="dxa"/>
            <w:tcBorders>
              <w:top w:val="nil"/>
            </w:tcBorders>
            <w:shd w:val="clear" w:color="auto" w:fill="F2F2F2"/>
            <w:noWrap/>
            <w:vAlign w:val="center"/>
          </w:tcPr>
          <w:p w14:paraId="3A76488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74 (11.30%)</w:t>
            </w:r>
          </w:p>
        </w:tc>
        <w:tc>
          <w:tcPr>
            <w:tcW w:w="2433" w:type="dxa"/>
            <w:tcBorders>
              <w:top w:val="nil"/>
            </w:tcBorders>
            <w:shd w:val="clear" w:color="auto" w:fill="F2F2F2"/>
            <w:noWrap/>
            <w:vAlign w:val="center"/>
          </w:tcPr>
          <w:p w14:paraId="66CA7182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46 (11.86%)</w:t>
            </w:r>
          </w:p>
        </w:tc>
        <w:tc>
          <w:tcPr>
            <w:tcW w:w="2236" w:type="dxa"/>
            <w:tcBorders>
              <w:top w:val="nil"/>
            </w:tcBorders>
            <w:shd w:val="clear" w:color="auto" w:fill="F2F2F2"/>
            <w:noWrap/>
            <w:vAlign w:val="center"/>
          </w:tcPr>
          <w:p w14:paraId="7F718714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28 (10.49%)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2F2F2"/>
            <w:noWrap/>
            <w:vAlign w:val="center"/>
          </w:tcPr>
          <w:p w14:paraId="4157F7F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0.676</w:t>
            </w:r>
          </w:p>
        </w:tc>
      </w:tr>
      <w:tr w:rsidR="005240B6" w:rsidRPr="009724E2" w14:paraId="6944393E" w14:textId="77777777" w:rsidTr="005240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65473219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A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ntidiabetic medication, n (%)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7759CDD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224 (34.20%)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4B3B568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94 (24.23%)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3E733835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130 (48.69%)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654027D0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&lt;0.001</w:t>
            </w:r>
          </w:p>
        </w:tc>
      </w:tr>
      <w:tr w:rsidR="005240B6" w:rsidRPr="009724E2" w14:paraId="532F54CF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7954E1D4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B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eta-blocker, n (%)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486867D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47 (7.18%)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68649D9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33 (8.51%)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76FF6932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14 (5.24%)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3F73A93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0.151</w:t>
            </w:r>
          </w:p>
        </w:tc>
      </w:tr>
      <w:tr w:rsidR="005240B6" w:rsidRPr="009724E2" w14:paraId="54B20646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59D55B05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In-hospital beta-blocker use, n (%)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6911B624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375 (57.25%)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67856F6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205 (52.84%)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0510751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170 (63.67%)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63692B6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0.007</w:t>
            </w:r>
          </w:p>
        </w:tc>
      </w:tr>
      <w:tr w:rsidR="005240B6" w:rsidRPr="009724E2" w14:paraId="03D664B9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4CA783B2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A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ldosterone antagonist, n (%)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51741C74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34 (5.19%)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6E74715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20 (5.15%)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042D29B2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14 (5.24%)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53A5345B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1.000</w:t>
            </w:r>
          </w:p>
        </w:tc>
      </w:tr>
      <w:tr w:rsidR="005240B6" w:rsidRPr="009724E2" w14:paraId="5F1DA6A8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52E2C2A1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In-hospital aldosterone antagonist use, n (%)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605187E2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365 (55.73%)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32D6CA6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210 (54.12%)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7520DC4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155 (58.05%)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08AFE62B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0.360</w:t>
            </w:r>
          </w:p>
        </w:tc>
      </w:tr>
      <w:tr w:rsidR="005240B6" w:rsidRPr="009724E2" w14:paraId="3FC63C0C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0F8F6D3A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A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ntiarrhythmic drug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s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, n (%)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0C5DF6A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28 (4.27%)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0BCC416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18 (4.64%)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35F6EDDB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10 (3.75%)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5D0FBCA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0.719</w:t>
            </w:r>
          </w:p>
        </w:tc>
      </w:tr>
      <w:tr w:rsidR="005240B6" w:rsidRPr="009724E2" w14:paraId="2F8830B2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32FA7439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In-hospital antiarrhythmic drug use, n (%)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4D497CB5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79 (12.06%)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174208F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45 (11.60%)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5B5EC412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34 (12.73%)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5D94C64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0.752</w:t>
            </w:r>
          </w:p>
        </w:tc>
      </w:tr>
      <w:tr w:rsidR="005240B6" w:rsidRPr="009724E2" w14:paraId="53900D93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16C0E366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PCI status, n (%)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00E08584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406EDB0A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77D5F06A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6574F962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0.850</w:t>
            </w:r>
          </w:p>
        </w:tc>
      </w:tr>
      <w:tr w:rsidR="005240B6" w:rsidRPr="009724E2" w14:paraId="2EB3507C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5865AC99" w14:textId="77777777" w:rsidR="005240B6" w:rsidRPr="009724E2" w:rsidRDefault="00E86BA8">
            <w:pPr>
              <w:spacing w:after="0"/>
              <w:ind w:firstLineChars="200" w:firstLine="36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No PCI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4F9B4E8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96 (14.66%)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141FC4C5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55 (14.18%)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21CC707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41 (15.36%)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3B044AB8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4A20EB0B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30235E25" w14:textId="77777777" w:rsidR="005240B6" w:rsidRPr="009724E2" w:rsidRDefault="00E86BA8">
            <w:pPr>
              <w:spacing w:after="0"/>
              <w:ind w:firstLineChars="200" w:firstLine="36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Emergency PCI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57DF74A7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232 (35.42%)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328B01E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136 (35.05%)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19D4256D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96 (35.96%)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7AAC96C5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3B627050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6BE5D8FD" w14:textId="77777777" w:rsidR="005240B6" w:rsidRPr="009724E2" w:rsidRDefault="00E86BA8">
            <w:pPr>
              <w:spacing w:after="0"/>
              <w:ind w:firstLineChars="200" w:firstLine="36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Elective PCI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6BC25380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327 (49.92%)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190A3D6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197 (50.77%)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38E3560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130 (48.69%)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04689680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2786DCFC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4A7B6F4C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PCI type, n (%)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7C69A653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7C1EB7AF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4179A664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72F120DE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5B14D79C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7BD87E98" w14:textId="77777777" w:rsidR="005240B6" w:rsidRPr="009724E2" w:rsidRDefault="00E86BA8">
            <w:pPr>
              <w:spacing w:after="0"/>
              <w:ind w:firstLineChars="200" w:firstLine="36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lastRenderedPageBreak/>
              <w:t>No PCI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3B7D7F4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96 (14.66%)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5887F27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55 (14.18%)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726EE51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41 (15.36%)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2356FC2C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6E637313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49A05B48" w14:textId="77777777" w:rsidR="005240B6" w:rsidRPr="009724E2" w:rsidRDefault="00E86BA8">
            <w:pPr>
              <w:spacing w:after="0"/>
              <w:ind w:firstLineChars="200" w:firstLine="36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 w:hint="eastAsia"/>
                <w:color w:val="08090C"/>
                <w:sz w:val="18"/>
                <w:szCs w:val="18"/>
                <w:lang w:eastAsia="zh-CN" w:bidi="ar"/>
              </w:rPr>
              <w:t>C</w:t>
            </w: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onservative strategy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27DAAA4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110 (16.79%)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0AC44150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64 (16.49%)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260A5EC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46 (17.23%)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76E29B0F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6CB5D831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78429E01" w14:textId="77777777" w:rsidR="005240B6" w:rsidRPr="009724E2" w:rsidRDefault="00E86BA8">
            <w:pPr>
              <w:spacing w:after="0"/>
              <w:ind w:firstLineChars="200" w:firstLine="36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Stent only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2EB4812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201 (30.69%)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5DCC7C14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127 (32.73%)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08C0F837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74 (27.72%)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6DFF0D80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67366038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1733B0D6" w14:textId="77777777" w:rsidR="005240B6" w:rsidRPr="009724E2" w:rsidRDefault="00E86BA8">
            <w:pPr>
              <w:spacing w:after="0"/>
              <w:ind w:firstLineChars="200" w:firstLine="36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Balloon only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3513BDE9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35 (5.34%)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5169680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16 (4.12%)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53C82929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19 (7.12%)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40DFDD37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3B411B85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2C162AFF" w14:textId="77777777" w:rsidR="005240B6" w:rsidRPr="009724E2" w:rsidRDefault="00E86BA8">
            <w:pPr>
              <w:spacing w:after="0"/>
              <w:ind w:firstLineChars="200" w:firstLine="36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Balloon + stent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697C4CA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211 (32.21%)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6094AE14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124 (31.96%)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42E71D3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87 (32.58%)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3757B82B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5FB5CE65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4BC9853F" w14:textId="77777777" w:rsidR="005240B6" w:rsidRPr="009724E2" w:rsidRDefault="00E86BA8">
            <w:pPr>
              <w:spacing w:after="0"/>
              <w:ind w:firstLineChars="200" w:firstLine="36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Thrombolysis + stent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0D09AA1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 (0.15%)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46CFE769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 (0.26%)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30ED8EE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 (0.00%)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2490BD2B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2758794E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5CBBE63C" w14:textId="77777777" w:rsidR="005240B6" w:rsidRPr="009724E2" w:rsidRDefault="00E86BA8">
            <w:pPr>
              <w:spacing w:after="0"/>
              <w:ind w:firstLineChars="200" w:firstLine="36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eastAsia="zh-CN" w:bidi="ar"/>
              </w:rPr>
              <w:t>All three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2F7C7B1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 (0.15%)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558A0AE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1 (0.26%)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2BD0FD96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 (0.00%)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0B9D29C7" w14:textId="77777777" w:rsidR="005240B6" w:rsidRPr="009724E2" w:rsidRDefault="005240B6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</w:p>
        </w:tc>
      </w:tr>
      <w:tr w:rsidR="005240B6" w:rsidRPr="009724E2" w14:paraId="14482374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08328027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LVDS (mm)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146B1157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40.00 (33.00-45.00)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6A8500C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40.00 (33.00-45.00)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0B7BF21E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39.00 (33.00-45.00)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2D042D3C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0.500</w:t>
            </w:r>
          </w:p>
        </w:tc>
      </w:tr>
      <w:tr w:rsidR="005240B6" w:rsidRPr="009724E2" w14:paraId="58CF1CFA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FFFFF"/>
            <w:noWrap/>
            <w:vAlign w:val="center"/>
          </w:tcPr>
          <w:p w14:paraId="2E84C5A6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eastAsia="zh-CN"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LVEDD (mm)</w:t>
            </w:r>
          </w:p>
        </w:tc>
        <w:tc>
          <w:tcPr>
            <w:tcW w:w="2324" w:type="dxa"/>
            <w:shd w:val="clear" w:color="auto" w:fill="FFFFFF"/>
            <w:noWrap/>
            <w:vAlign w:val="center"/>
          </w:tcPr>
          <w:p w14:paraId="369F4719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53.00 (49.00-58.00)</w:t>
            </w:r>
          </w:p>
        </w:tc>
        <w:tc>
          <w:tcPr>
            <w:tcW w:w="2433" w:type="dxa"/>
            <w:shd w:val="clear" w:color="auto" w:fill="FFFFFF"/>
            <w:noWrap/>
            <w:vAlign w:val="center"/>
          </w:tcPr>
          <w:p w14:paraId="1777631A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53.00 (49.00-59.00)</w:t>
            </w:r>
          </w:p>
        </w:tc>
        <w:tc>
          <w:tcPr>
            <w:tcW w:w="2236" w:type="dxa"/>
            <w:shd w:val="clear" w:color="auto" w:fill="FFFFFF"/>
            <w:noWrap/>
            <w:vAlign w:val="center"/>
          </w:tcPr>
          <w:p w14:paraId="5A2187D4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53.00 (49.00-58.00)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14:paraId="5364B05F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0.552</w:t>
            </w:r>
          </w:p>
        </w:tc>
      </w:tr>
      <w:tr w:rsidR="005240B6" w:rsidRPr="009724E2" w14:paraId="20FD4977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shd w:val="clear" w:color="auto" w:fill="F2F2F2"/>
            <w:noWrap/>
            <w:vAlign w:val="center"/>
          </w:tcPr>
          <w:p w14:paraId="1C979550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LVEF (%)</w:t>
            </w:r>
          </w:p>
        </w:tc>
        <w:tc>
          <w:tcPr>
            <w:tcW w:w="2324" w:type="dxa"/>
            <w:shd w:val="clear" w:color="auto" w:fill="F2F2F2"/>
            <w:noWrap/>
            <w:vAlign w:val="center"/>
          </w:tcPr>
          <w:p w14:paraId="7E47E684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39.00 (32.80-44.00)</w:t>
            </w:r>
          </w:p>
        </w:tc>
        <w:tc>
          <w:tcPr>
            <w:tcW w:w="2433" w:type="dxa"/>
            <w:shd w:val="clear" w:color="auto" w:fill="F2F2F2"/>
            <w:noWrap/>
            <w:vAlign w:val="center"/>
          </w:tcPr>
          <w:p w14:paraId="27634898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38.50 (32.00-45.00)</w:t>
            </w:r>
          </w:p>
        </w:tc>
        <w:tc>
          <w:tcPr>
            <w:tcW w:w="2236" w:type="dxa"/>
            <w:shd w:val="clear" w:color="auto" w:fill="F2F2F2"/>
            <w:noWrap/>
            <w:vAlign w:val="center"/>
          </w:tcPr>
          <w:p w14:paraId="26E4C5C3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39.00 (33.50-43.65)</w:t>
            </w:r>
          </w:p>
        </w:tc>
        <w:tc>
          <w:tcPr>
            <w:tcW w:w="1276" w:type="dxa"/>
            <w:shd w:val="clear" w:color="auto" w:fill="F2F2F2"/>
            <w:noWrap/>
            <w:vAlign w:val="center"/>
          </w:tcPr>
          <w:p w14:paraId="31839BD0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0.277</w:t>
            </w:r>
          </w:p>
        </w:tc>
      </w:tr>
      <w:tr w:rsidR="005240B6" w:rsidRPr="009724E2" w14:paraId="74D15FC0" w14:textId="77777777" w:rsidTr="005240B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7" w:type="dxa"/>
            <w:tcBorders>
              <w:bottom w:val="nil"/>
            </w:tcBorders>
            <w:shd w:val="clear" w:color="auto" w:fill="FFFFFF"/>
            <w:noWrap/>
            <w:vAlign w:val="center"/>
          </w:tcPr>
          <w:p w14:paraId="2FF817F9" w14:textId="77777777" w:rsidR="005240B6" w:rsidRPr="009724E2" w:rsidRDefault="00E86BA8">
            <w:pPr>
              <w:spacing w:after="0"/>
              <w:textAlignment w:val="center"/>
              <w:rPr>
                <w:rFonts w:ascii="Times New Roman" w:eastAsia="微软雅黑" w:hAnsi="Times New Roman" w:cs="Times New Roman"/>
                <w:b w:val="0"/>
                <w:bCs w:val="0"/>
                <w:color w:val="08090C"/>
                <w:sz w:val="18"/>
                <w:szCs w:val="18"/>
                <w:lang w:bidi="ar"/>
              </w:rPr>
            </w:pPr>
            <w:r w:rsidRPr="009724E2">
              <w:rPr>
                <w:rFonts w:ascii="Times New Roman" w:eastAsia="微软雅黑" w:hAnsi="Times New Roman" w:cs="Times New Roman"/>
                <w:color w:val="08090C"/>
                <w:sz w:val="18"/>
                <w:szCs w:val="18"/>
                <w:lang w:bidi="ar"/>
              </w:rPr>
              <w:t>In hospital malignant arrhythmias, n (%)</w:t>
            </w:r>
          </w:p>
        </w:tc>
        <w:tc>
          <w:tcPr>
            <w:tcW w:w="2324" w:type="dxa"/>
            <w:tcBorders>
              <w:bottom w:val="nil"/>
            </w:tcBorders>
            <w:shd w:val="clear" w:color="auto" w:fill="FFFFFF"/>
            <w:noWrap/>
            <w:vAlign w:val="center"/>
          </w:tcPr>
          <w:p w14:paraId="5BBC78B5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67 (10.23%)</w:t>
            </w:r>
          </w:p>
        </w:tc>
        <w:tc>
          <w:tcPr>
            <w:tcW w:w="2433" w:type="dxa"/>
            <w:tcBorders>
              <w:bottom w:val="nil"/>
            </w:tcBorders>
            <w:shd w:val="clear" w:color="auto" w:fill="FFFFFF"/>
            <w:noWrap/>
            <w:vAlign w:val="center"/>
          </w:tcPr>
          <w:p w14:paraId="686F9C01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30 (7.73%)</w:t>
            </w:r>
          </w:p>
        </w:tc>
        <w:tc>
          <w:tcPr>
            <w:tcW w:w="2236" w:type="dxa"/>
            <w:tcBorders>
              <w:bottom w:val="nil"/>
            </w:tcBorders>
            <w:shd w:val="clear" w:color="auto" w:fill="FFFFFF"/>
            <w:noWrap/>
            <w:vAlign w:val="center"/>
          </w:tcPr>
          <w:p w14:paraId="1CC0D3EB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37 (13.86%)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FFFFFF"/>
            <w:noWrap/>
            <w:vAlign w:val="center"/>
          </w:tcPr>
          <w:p w14:paraId="2C8E9405" w14:textId="77777777" w:rsidR="005240B6" w:rsidRPr="009724E2" w:rsidRDefault="00E86BA8">
            <w:pPr>
              <w:spacing w:after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0"/>
                <w:szCs w:val="20"/>
                <w:lang w:eastAsia="zh-CN" w:bidi="ar"/>
              </w:rPr>
              <w:t>0.016</w:t>
            </w:r>
          </w:p>
        </w:tc>
      </w:tr>
    </w:tbl>
    <w:p w14:paraId="1F534416" w14:textId="77777777" w:rsidR="005240B6" w:rsidRPr="009724E2" w:rsidRDefault="005240B6">
      <w:pPr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</w:p>
    <w:p w14:paraId="5867B2DE" w14:textId="77777777" w:rsidR="005240B6" w:rsidRPr="009724E2" w:rsidRDefault="00E86BA8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Data are presented as Median (Quartile 1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 xml:space="preserve">,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>Quartile 3) or n (%)</w:t>
      </w:r>
    </w:p>
    <w:p w14:paraId="1D45D54D" w14:textId="77777777" w:rsidR="005240B6" w:rsidRPr="009724E2" w:rsidRDefault="00E86BA8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Abbreviations: T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</w:rPr>
        <w:t>Y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G, Triglyceride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Glucose Index;</w:t>
      </w:r>
      <w:r w:rsidRPr="009724E2">
        <w:rPr>
          <w:rStyle w:val="a4"/>
          <w:rFonts w:ascii="Times New Roman" w:eastAsia="宋体" w:hAnsi="Times New Roman" w:cs="Times New Roman"/>
          <w:bCs/>
          <w:color w:val="060607"/>
          <w:spacing w:val="3"/>
          <w:sz w:val="22"/>
          <w:szCs w:val="22"/>
          <w:shd w:val="clear" w:color="auto" w:fill="FFFFFF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BMI, Body mass index; SBP, systolic blood pressure; DBP, diastolic blood pressure; HbA1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</w:rPr>
        <w:t>c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, Glycosylated Hemoglobin, Type A1C; eGFR, Estimated Glomerular Filtration Rate; BNP, B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 xml:space="preserve">type Natriuretic Peptide; TC, Serum Total Cholesterol; TG, 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T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riglycerides;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 xml:space="preserve">LDL-C, 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L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ow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 xml:space="preserve">density lipoprotein cholesterol; HDL-C, 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H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igh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density lipoprotein cholesterol;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CRP, C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reactive protein; NE, neutrophil; WBC, white blood cell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 xml:space="preserve">;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LVDS, Left Ventricular End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Systolic Dimension; LVEDD: Left Ventricular End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</w:rPr>
        <w:t xml:space="preserve"> </w:t>
      </w:r>
      <w:r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Diastolic Diameter; LVEF: Left Ventricular Ejection Fraction; ACEI, angiotensin II coenzyme inhibitor; ARB, angiotensin II receptor blocker</w:t>
      </w:r>
      <w:r w:rsidRPr="009724E2">
        <w:rPr>
          <w:rFonts w:ascii="Times New Roman" w:eastAsia="宋体" w:hAnsi="Times New Roman" w:cs="Times New Roman" w:hint="eastAsia"/>
          <w:color w:val="000000" w:themeColor="text1"/>
          <w:sz w:val="22"/>
          <w:szCs w:val="22"/>
          <w:lang w:eastAsia="zh-CN"/>
        </w:rPr>
        <w:t>; PCI, percutaneous coronary intervention.</w:t>
      </w:r>
    </w:p>
    <w:p w14:paraId="1B14BEF8" w14:textId="77777777" w:rsidR="005240B6" w:rsidRPr="009724E2" w:rsidRDefault="005240B6">
      <w:pPr>
        <w:spacing w:line="360" w:lineRule="auto"/>
        <w:rPr>
          <w:rFonts w:ascii="Times New Roman" w:hAnsi="Times New Roman" w:cs="Times New Roman"/>
          <w:b/>
          <w:bCs/>
        </w:rPr>
        <w:sectPr w:rsidR="005240B6" w:rsidRPr="009724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5EEFB53" w14:textId="77777777" w:rsidR="009724E2" w:rsidRPr="009724E2" w:rsidRDefault="00CC7795">
      <w:pPr>
        <w:rPr>
          <w:rFonts w:ascii="Times New Roman" w:eastAsia="宋体" w:hAnsi="Times New Roman" w:cs="Times New Roman"/>
          <w:sz w:val="22"/>
          <w:szCs w:val="22"/>
        </w:rPr>
      </w:pPr>
      <w:r w:rsidRPr="009724E2">
        <w:rPr>
          <w:rFonts w:ascii="Times New Roman" w:eastAsia="宋体" w:hAnsi="Times New Roman" w:cs="Times New Roman"/>
          <w:b/>
          <w:bCs/>
          <w:sz w:val="22"/>
          <w:szCs w:val="22"/>
        </w:rPr>
        <w:lastRenderedPageBreak/>
        <w:t>Supplementary Table 3</w:t>
      </w:r>
      <w:r w:rsidR="00E86BA8" w:rsidRPr="009724E2">
        <w:rPr>
          <w:rFonts w:ascii="Times New Roman" w:eastAsia="宋体" w:hAnsi="Times New Roman" w:cs="Times New Roman"/>
          <w:b/>
          <w:bCs/>
          <w:sz w:val="22"/>
          <w:szCs w:val="22"/>
        </w:rPr>
        <w:t>.</w:t>
      </w:r>
      <w:r w:rsidR="00E86BA8" w:rsidRPr="009724E2">
        <w:rPr>
          <w:rFonts w:ascii="Times New Roman" w:eastAsia="宋体" w:hAnsi="Times New Roman" w:cs="Times New Roman"/>
          <w:sz w:val="22"/>
          <w:szCs w:val="22"/>
        </w:rPr>
        <w:t xml:space="preserve"> Multiple-mediator analysis of the association between the T</w:t>
      </w:r>
      <w:r w:rsidR="00E86BA8" w:rsidRPr="009724E2">
        <w:rPr>
          <w:rFonts w:ascii="Times New Roman" w:eastAsia="宋体" w:hAnsi="Times New Roman" w:cs="Times New Roman" w:hint="eastAsia"/>
          <w:sz w:val="22"/>
          <w:szCs w:val="22"/>
          <w:lang w:eastAsia="zh-CN"/>
        </w:rPr>
        <w:t>y</w:t>
      </w:r>
      <w:r w:rsidR="00E86BA8" w:rsidRPr="009724E2">
        <w:rPr>
          <w:rFonts w:ascii="Times New Roman" w:eastAsia="宋体" w:hAnsi="Times New Roman" w:cs="Times New Roman"/>
          <w:sz w:val="22"/>
          <w:szCs w:val="22"/>
        </w:rPr>
        <w:t>G index and in-hospital malignant arrhythmias.</w:t>
      </w:r>
    </w:p>
    <w:tbl>
      <w:tblPr>
        <w:tblpPr w:leftFromText="180" w:rightFromText="180" w:vertAnchor="page" w:horzAnchor="page" w:tblpX="1615" w:tblpY="2238"/>
        <w:tblOverlap w:val="never"/>
        <w:tblW w:w="8749" w:type="dxa"/>
        <w:tblLook w:val="04A0" w:firstRow="1" w:lastRow="0" w:firstColumn="1" w:lastColumn="0" w:noHBand="0" w:noVBand="1"/>
      </w:tblPr>
      <w:tblGrid>
        <w:gridCol w:w="2556"/>
        <w:gridCol w:w="2400"/>
        <w:gridCol w:w="2124"/>
        <w:gridCol w:w="1669"/>
      </w:tblGrid>
      <w:tr w:rsidR="009724E2" w:rsidRPr="009724E2" w14:paraId="3080B483" w14:textId="77777777" w:rsidTr="00F602A6">
        <w:trPr>
          <w:trHeight w:val="471"/>
        </w:trPr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CDCDCD" w:themeFill="dark1" w:themeFillTint="32"/>
            <w:vAlign w:val="center"/>
          </w:tcPr>
          <w:p w14:paraId="3C2C60B7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dark1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b/>
                <w:bCs/>
                <w:color w:val="000000" w:themeColor="dark1"/>
                <w:sz w:val="22"/>
                <w:szCs w:val="22"/>
                <w:lang w:eastAsia="zh-CN" w:bidi="ar"/>
              </w:rPr>
              <w:t>Pathway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CDCDCD" w:themeFill="dark1" w:themeFillTint="32"/>
            <w:vAlign w:val="center"/>
          </w:tcPr>
          <w:p w14:paraId="0D8723DA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dark1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b/>
                <w:bCs/>
                <w:color w:val="000000" w:themeColor="dark1"/>
                <w:sz w:val="22"/>
                <w:szCs w:val="22"/>
                <w:lang w:eastAsia="zh-CN" w:bidi="ar"/>
              </w:rPr>
              <w:t>Estimate (log HR)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CDCDCD" w:themeFill="dark1" w:themeFillTint="32"/>
            <w:vAlign w:val="center"/>
          </w:tcPr>
          <w:p w14:paraId="14770DBB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dark1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b/>
                <w:bCs/>
                <w:color w:val="000000" w:themeColor="dark1"/>
                <w:sz w:val="22"/>
                <w:szCs w:val="22"/>
                <w:lang w:eastAsia="zh-CN" w:bidi="ar"/>
              </w:rPr>
              <w:t>95% CI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CDCDCD" w:themeFill="dark1" w:themeFillTint="32"/>
            <w:vAlign w:val="center"/>
          </w:tcPr>
          <w:p w14:paraId="365686DE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dark1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 w:hint="eastAsia"/>
                <w:b/>
                <w:bCs/>
                <w:i/>
                <w:iCs/>
                <w:color w:val="000000" w:themeColor="dark1"/>
                <w:sz w:val="22"/>
                <w:szCs w:val="22"/>
                <w:lang w:eastAsia="zh-CN" w:bidi="ar"/>
              </w:rPr>
              <w:t>p</w:t>
            </w:r>
            <w:r w:rsidRPr="009724E2">
              <w:rPr>
                <w:rFonts w:ascii="Times New Roman" w:eastAsia="宋体" w:hAnsi="Times New Roman" w:cs="Times New Roman"/>
                <w:b/>
                <w:bCs/>
                <w:color w:val="000000" w:themeColor="dark1"/>
                <w:sz w:val="22"/>
                <w:szCs w:val="22"/>
                <w:lang w:eastAsia="zh-CN" w:bidi="ar"/>
              </w:rPr>
              <w:t xml:space="preserve"> value</w:t>
            </w:r>
          </w:p>
        </w:tc>
      </w:tr>
      <w:tr w:rsidR="009724E2" w:rsidRPr="009724E2" w14:paraId="14E76EAB" w14:textId="77777777" w:rsidTr="00F602A6">
        <w:trPr>
          <w:trHeight w:val="576"/>
        </w:trPr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9D277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Indirect via NE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C0702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0.6</w:t>
            </w:r>
            <w:r w:rsidRPr="009724E2">
              <w:rPr>
                <w:rFonts w:ascii="Times New Roman" w:eastAsia="宋体" w:hAnsi="Times New Roman" w:cs="Times New Roman" w:hint="eastAsia"/>
                <w:color w:val="08090C"/>
                <w:sz w:val="22"/>
                <w:szCs w:val="22"/>
                <w:lang w:eastAsia="zh-CN" w:bidi="ar"/>
              </w:rPr>
              <w:t>9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5A128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-0.05 – 1.3</w:t>
            </w:r>
            <w:r w:rsidRPr="009724E2">
              <w:rPr>
                <w:rFonts w:ascii="Times New Roman" w:eastAsia="宋体" w:hAnsi="Times New Roman" w:cs="Times New Roman" w:hint="eastAsia"/>
                <w:color w:val="08090C"/>
                <w:sz w:val="22"/>
                <w:szCs w:val="22"/>
                <w:lang w:eastAsia="zh-CN" w:bidi="ar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455AB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0.062</w:t>
            </w:r>
          </w:p>
        </w:tc>
      </w:tr>
      <w:tr w:rsidR="009724E2" w:rsidRPr="009724E2" w14:paraId="489A8F24" w14:textId="77777777" w:rsidTr="00F602A6">
        <w:trPr>
          <w:trHeight w:val="288"/>
        </w:trPr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D8D5F08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Indirect via WBC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3835F45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-0.40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1EA97BB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-1.0</w:t>
            </w:r>
            <w:r w:rsidRPr="009724E2">
              <w:rPr>
                <w:rFonts w:ascii="Times New Roman" w:eastAsia="宋体" w:hAnsi="Times New Roman" w:cs="Times New Roman" w:hint="eastAsia"/>
                <w:color w:val="08090C"/>
                <w:sz w:val="22"/>
                <w:szCs w:val="22"/>
                <w:lang w:eastAsia="zh-CN" w:bidi="ar"/>
              </w:rPr>
              <w:t>3</w:t>
            </w: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 xml:space="preserve"> – 0.20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7FCBCD93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0.2</w:t>
            </w:r>
            <w:r w:rsidRPr="009724E2">
              <w:rPr>
                <w:rFonts w:ascii="Times New Roman" w:eastAsia="宋体" w:hAnsi="Times New Roman" w:cs="Times New Roman" w:hint="eastAsia"/>
                <w:color w:val="08090C"/>
                <w:sz w:val="22"/>
                <w:szCs w:val="22"/>
                <w:lang w:eastAsia="zh-CN" w:bidi="ar"/>
              </w:rPr>
              <w:t>00</w:t>
            </w:r>
          </w:p>
        </w:tc>
      </w:tr>
      <w:tr w:rsidR="009724E2" w:rsidRPr="009724E2" w14:paraId="33534397" w14:textId="77777777" w:rsidTr="00F602A6">
        <w:trPr>
          <w:trHeight w:val="576"/>
        </w:trPr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232F7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Total indirect effect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A143B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0.2</w:t>
            </w:r>
            <w:r w:rsidRPr="009724E2">
              <w:rPr>
                <w:rFonts w:ascii="Times New Roman" w:eastAsia="宋体" w:hAnsi="Times New Roman" w:cs="Times New Roman" w:hint="eastAsia"/>
                <w:color w:val="08090C"/>
                <w:sz w:val="22"/>
                <w:szCs w:val="22"/>
                <w:lang w:eastAsia="zh-CN" w:bidi="ar"/>
              </w:rPr>
              <w:t>9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707DB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0.</w:t>
            </w:r>
            <w:r w:rsidRPr="009724E2">
              <w:rPr>
                <w:rFonts w:ascii="Times New Roman" w:eastAsia="宋体" w:hAnsi="Times New Roman" w:cs="Times New Roman" w:hint="eastAsia"/>
                <w:color w:val="08090C"/>
                <w:sz w:val="22"/>
                <w:szCs w:val="22"/>
                <w:lang w:eastAsia="zh-CN" w:bidi="ar"/>
              </w:rPr>
              <w:t>10</w:t>
            </w: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 xml:space="preserve"> – 0.4</w:t>
            </w:r>
            <w:r w:rsidRPr="009724E2">
              <w:rPr>
                <w:rFonts w:ascii="Times New Roman" w:eastAsia="宋体" w:hAnsi="Times New Roman" w:cs="Times New Roman" w:hint="eastAsia"/>
                <w:color w:val="08090C"/>
                <w:sz w:val="22"/>
                <w:szCs w:val="22"/>
                <w:lang w:eastAsia="zh-CN" w:bidi="ar"/>
              </w:rPr>
              <w:t>6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45301C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&lt;0.001</w:t>
            </w:r>
          </w:p>
        </w:tc>
      </w:tr>
      <w:tr w:rsidR="009724E2" w:rsidRPr="009724E2" w14:paraId="3D811939" w14:textId="77777777" w:rsidTr="00F602A6">
        <w:trPr>
          <w:trHeight w:val="288"/>
        </w:trPr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1C54D226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Direct effect (c′)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7D0EC18F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0.90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3A248F46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0.01 – 1.5</w:t>
            </w:r>
            <w:r w:rsidRPr="009724E2">
              <w:rPr>
                <w:rFonts w:ascii="Times New Roman" w:eastAsia="宋体" w:hAnsi="Times New Roman" w:cs="Times New Roman" w:hint="eastAsia"/>
                <w:color w:val="08090C"/>
                <w:sz w:val="22"/>
                <w:szCs w:val="22"/>
                <w:lang w:eastAsia="zh-CN" w:bidi="ar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279941E1" w14:textId="77777777" w:rsidR="009724E2" w:rsidRPr="009724E2" w:rsidRDefault="009724E2" w:rsidP="00F602A6">
            <w:pPr>
              <w:jc w:val="center"/>
              <w:textAlignment w:val="center"/>
              <w:rPr>
                <w:rFonts w:ascii="Times New Roman" w:eastAsia="宋体" w:hAnsi="Times New Roman" w:cs="Times New Roman"/>
                <w:color w:val="08090C"/>
                <w:sz w:val="22"/>
                <w:szCs w:val="22"/>
              </w:rPr>
            </w:pPr>
            <w:r w:rsidRPr="009724E2">
              <w:rPr>
                <w:rFonts w:ascii="Times New Roman" w:eastAsia="宋体" w:hAnsi="Times New Roman" w:cs="Times New Roman"/>
                <w:color w:val="08090C"/>
                <w:sz w:val="22"/>
                <w:szCs w:val="22"/>
                <w:lang w:eastAsia="zh-CN" w:bidi="ar"/>
              </w:rPr>
              <w:t>0.018</w:t>
            </w:r>
          </w:p>
        </w:tc>
      </w:tr>
    </w:tbl>
    <w:p w14:paraId="1CB17A4C" w14:textId="77777777" w:rsidR="005240B6" w:rsidRPr="009724E2" w:rsidRDefault="005240B6">
      <w:pPr>
        <w:rPr>
          <w:rFonts w:ascii="Times New Roman" w:eastAsia="宋体" w:hAnsi="Times New Roman" w:cs="Times New Roman"/>
          <w:sz w:val="22"/>
          <w:szCs w:val="22"/>
        </w:rPr>
      </w:pPr>
    </w:p>
    <w:p w14:paraId="5FAD803D" w14:textId="77777777" w:rsidR="005240B6" w:rsidRPr="009724E2" w:rsidRDefault="005240B6">
      <w:pPr>
        <w:rPr>
          <w:rFonts w:ascii="Times New Roman" w:eastAsia="宋体" w:hAnsi="Times New Roman" w:cs="Times New Roman"/>
          <w:sz w:val="22"/>
          <w:szCs w:val="22"/>
        </w:rPr>
      </w:pPr>
    </w:p>
    <w:p w14:paraId="1E1D7AB4" w14:textId="77777777" w:rsidR="005240B6" w:rsidRPr="009724E2" w:rsidRDefault="005240B6">
      <w:pPr>
        <w:rPr>
          <w:rFonts w:ascii="Times New Roman" w:eastAsia="宋体" w:hAnsi="Times New Roman" w:cs="Times New Roman"/>
          <w:sz w:val="22"/>
          <w:szCs w:val="22"/>
        </w:rPr>
      </w:pPr>
    </w:p>
    <w:p w14:paraId="6BF91D5C" w14:textId="77777777" w:rsidR="005240B6" w:rsidRPr="009724E2" w:rsidRDefault="005240B6">
      <w:pPr>
        <w:rPr>
          <w:rFonts w:ascii="Times New Roman" w:eastAsia="宋体" w:hAnsi="Times New Roman" w:cs="Times New Roman"/>
          <w:sz w:val="22"/>
          <w:szCs w:val="22"/>
        </w:rPr>
      </w:pPr>
    </w:p>
    <w:p w14:paraId="4EE847AF" w14:textId="77777777" w:rsidR="005240B6" w:rsidRPr="009724E2" w:rsidRDefault="005240B6">
      <w:pPr>
        <w:rPr>
          <w:rFonts w:ascii="Times New Roman" w:eastAsia="宋体" w:hAnsi="Times New Roman" w:cs="Times New Roman"/>
          <w:sz w:val="22"/>
          <w:szCs w:val="22"/>
        </w:rPr>
      </w:pPr>
    </w:p>
    <w:p w14:paraId="4012E8C1" w14:textId="77777777" w:rsidR="005240B6" w:rsidRPr="009724E2" w:rsidRDefault="005240B6">
      <w:pPr>
        <w:rPr>
          <w:rFonts w:ascii="Times New Roman" w:eastAsia="宋体" w:hAnsi="Times New Roman" w:cs="Times New Roman"/>
          <w:sz w:val="22"/>
          <w:szCs w:val="22"/>
        </w:rPr>
      </w:pPr>
    </w:p>
    <w:p w14:paraId="30780855" w14:textId="77777777" w:rsidR="005240B6" w:rsidRPr="009724E2" w:rsidRDefault="005240B6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7E48504" w14:textId="77777777" w:rsidR="005240B6" w:rsidRPr="009724E2" w:rsidRDefault="005240B6">
      <w:pPr>
        <w:spacing w:line="360" w:lineRule="auto"/>
        <w:rPr>
          <w:rFonts w:ascii="Times New Roman" w:hAnsi="Times New Roman" w:cs="Times New Roman"/>
          <w:b/>
          <w:bCs/>
        </w:rPr>
        <w:sectPr w:rsidR="005240B6" w:rsidRPr="009724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4CF9FA6" w14:textId="77777777" w:rsidR="009724E2" w:rsidRPr="009724E2" w:rsidRDefault="009724E2" w:rsidP="009724E2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b/>
          <w:bCs/>
          <w:noProof/>
          <w:color w:val="000000" w:themeColor="text1"/>
          <w:sz w:val="22"/>
          <w:szCs w:val="22"/>
          <w:lang w:eastAsia="zh-CN"/>
        </w:rPr>
        <w:lastRenderedPageBreak/>
        <w:drawing>
          <wp:inline distT="0" distB="0" distL="114300" distR="114300" wp14:anchorId="1FC000B2" wp14:editId="23E764A3">
            <wp:extent cx="5273040" cy="3954780"/>
            <wp:effectExtent l="0" t="0" r="0" b="7620"/>
            <wp:docPr id="2" name="图片 2" descr="ROC_Cox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OC_Cox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CA229" w14:textId="0B040960" w:rsidR="009724E2" w:rsidRPr="009724E2" w:rsidRDefault="00CD3D26" w:rsidP="009724E2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</w:pPr>
      <w:r w:rsidRPr="00CD3D26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 xml:space="preserve">Supplementary Fig. </w:t>
      </w:r>
      <w:r w:rsidR="009724E2" w:rsidRPr="009724E2">
        <w:rPr>
          <w:rFonts w:ascii="Times New Roman" w:eastAsia="宋体" w:hAnsi="Times New Roman" w:cs="Times New Roman" w:hint="eastAsia"/>
          <w:b/>
          <w:bCs/>
          <w:color w:val="000000" w:themeColor="text1"/>
          <w:sz w:val="22"/>
          <w:szCs w:val="22"/>
          <w:lang w:eastAsia="zh-CN"/>
        </w:rPr>
        <w:t>1.</w:t>
      </w:r>
      <w:r w:rsidR="009724E2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ROC Curve and Best Threshold Value of the Triglyceride-Glucose Index for Predicting In-Hospital Malignant Arrhythmias</w:t>
      </w:r>
    </w:p>
    <w:p w14:paraId="2755C63A" w14:textId="77777777" w:rsidR="005240B6" w:rsidRPr="009724E2" w:rsidRDefault="00E86BA8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</w:pPr>
      <w:r w:rsidRPr="009724E2">
        <w:rPr>
          <w:rFonts w:ascii="Times New Roman" w:eastAsia="宋体" w:hAnsi="Times New Roman" w:cs="Times New Roman"/>
          <w:b/>
          <w:bCs/>
          <w:noProof/>
          <w:color w:val="000000" w:themeColor="text1"/>
          <w:sz w:val="22"/>
          <w:szCs w:val="22"/>
          <w:lang w:eastAsia="zh-CN"/>
        </w:rPr>
        <w:drawing>
          <wp:inline distT="0" distB="0" distL="114300" distR="114300" wp14:anchorId="7F0C8EFD" wp14:editId="1FD66E95">
            <wp:extent cx="4271645" cy="3204210"/>
            <wp:effectExtent l="0" t="0" r="10795" b="11430"/>
            <wp:docPr id="1" name="图片 1" descr="Fig.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75EA" w14:textId="77777777" w:rsidR="005240B6" w:rsidRPr="009724E2" w:rsidRDefault="00727AE7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</w:rPr>
      </w:pPr>
      <w:r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</w:rPr>
        <w:lastRenderedPageBreak/>
        <w:t>Supplementary Fig. 2</w:t>
      </w:r>
      <w:r w:rsidR="00E86BA8"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</w:rPr>
        <w:t xml:space="preserve">. </w:t>
      </w:r>
      <w:r w:rsidR="00E86BA8" w:rsidRPr="009724E2">
        <w:rPr>
          <w:rFonts w:ascii="Times New Roman" w:eastAsia="宋体" w:hAnsi="Times New Roman" w:cs="Times New Roman"/>
          <w:color w:val="000000" w:themeColor="text1"/>
          <w:sz w:val="22"/>
        </w:rPr>
        <w:t xml:space="preserve">Kaplan-Meier survival curves for in-hospital malignant arrhythmias according to TYG index cut-off values. </w:t>
      </w:r>
    </w:p>
    <w:p w14:paraId="1392597E" w14:textId="77777777" w:rsidR="005240B6" w:rsidRPr="009724E2" w:rsidRDefault="005240B6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sectPr w:rsidR="005240B6" w:rsidRPr="009724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07FF530" w14:textId="77777777" w:rsidR="009724E2" w:rsidRPr="009724E2" w:rsidRDefault="009306DD" w:rsidP="009724E2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</w:pPr>
      <w:r>
        <w:rPr>
          <w:noProof/>
        </w:rPr>
        <w:lastRenderedPageBreak/>
        <w:drawing>
          <wp:inline distT="0" distB="0" distL="0" distR="0" wp14:anchorId="005D088C" wp14:editId="0C1DA21A">
            <wp:extent cx="5057775" cy="36195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180A" w14:textId="1D184A83" w:rsidR="009724E2" w:rsidRDefault="00CD3D26" w:rsidP="009724E2">
      <w:pPr>
        <w:spacing w:line="360" w:lineRule="auto"/>
      </w:pPr>
      <w:r w:rsidRPr="00CD3D26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 xml:space="preserve">Supplementary Fig. </w:t>
      </w:r>
      <w:r w:rsidR="009724E2" w:rsidRPr="009724E2">
        <w:rPr>
          <w:rFonts w:ascii="Times New Roman" w:eastAsia="宋体" w:hAnsi="Times New Roman" w:cs="Times New Roman" w:hint="eastAsia"/>
          <w:b/>
          <w:bCs/>
          <w:color w:val="000000" w:themeColor="text1"/>
          <w:sz w:val="22"/>
          <w:szCs w:val="22"/>
          <w:lang w:eastAsia="zh-CN"/>
        </w:rPr>
        <w:t>3</w:t>
      </w:r>
      <w:r w:rsidR="009724E2" w:rsidRPr="009724E2"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2"/>
          <w:lang w:eastAsia="zh-CN"/>
        </w:rPr>
        <w:t>.</w:t>
      </w:r>
      <w:r w:rsidR="009724E2" w:rsidRPr="009724E2">
        <w:rPr>
          <w:rFonts w:ascii="Times New Roman" w:eastAsia="宋体" w:hAnsi="Times New Roman" w:cs="Times New Roman"/>
          <w:color w:val="000000" w:themeColor="text1"/>
          <w:sz w:val="22"/>
          <w:szCs w:val="22"/>
          <w:lang w:eastAsia="zh-CN"/>
        </w:rPr>
        <w:t xml:space="preserve"> Exploratory pathway analysis of the association between the TyG index and in-hospital malignant arrhythmias involving SIRI.</w:t>
      </w:r>
    </w:p>
    <w:p w14:paraId="041D1D2A" w14:textId="77777777" w:rsidR="005240B6" w:rsidRDefault="005240B6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BF48C87" w14:textId="77777777" w:rsidR="005240B6" w:rsidRDefault="005240B6">
      <w:pPr>
        <w:spacing w:line="360" w:lineRule="auto"/>
        <w:rPr>
          <w:rFonts w:ascii="Times New Roman" w:eastAsia="宋体" w:hAnsi="Times New Roman" w:cs="Times New Roman"/>
          <w:lang w:eastAsia="zh-CN"/>
        </w:rPr>
      </w:pPr>
    </w:p>
    <w:sectPr w:rsidR="005240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82E4B" w14:textId="77777777" w:rsidR="00E86BA8" w:rsidRDefault="00E86BA8">
      <w:pPr>
        <w:spacing w:after="0"/>
      </w:pPr>
      <w:r>
        <w:separator/>
      </w:r>
    </w:p>
  </w:endnote>
  <w:endnote w:type="continuationSeparator" w:id="0">
    <w:p w14:paraId="680A26DE" w14:textId="77777777" w:rsidR="00E86BA8" w:rsidRDefault="00E86B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B1646" w14:textId="77777777" w:rsidR="00E86BA8" w:rsidRDefault="00E86BA8">
      <w:pPr>
        <w:spacing w:after="0"/>
      </w:pPr>
      <w:r>
        <w:separator/>
      </w:r>
    </w:p>
  </w:footnote>
  <w:footnote w:type="continuationSeparator" w:id="0">
    <w:p w14:paraId="39CA8821" w14:textId="77777777" w:rsidR="00E86BA8" w:rsidRDefault="00E86BA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40B6"/>
    <w:rsid w:val="00181B9C"/>
    <w:rsid w:val="00382D01"/>
    <w:rsid w:val="003D1E18"/>
    <w:rsid w:val="005240B6"/>
    <w:rsid w:val="00727AE7"/>
    <w:rsid w:val="009306DD"/>
    <w:rsid w:val="009724E2"/>
    <w:rsid w:val="00CC7795"/>
    <w:rsid w:val="00CD3D26"/>
    <w:rsid w:val="00E86BA8"/>
    <w:rsid w:val="03A9465E"/>
    <w:rsid w:val="03B24428"/>
    <w:rsid w:val="063D13FB"/>
    <w:rsid w:val="084E1932"/>
    <w:rsid w:val="09C000DC"/>
    <w:rsid w:val="0C2F5217"/>
    <w:rsid w:val="0D817F74"/>
    <w:rsid w:val="0F813AA8"/>
    <w:rsid w:val="0FD24EC7"/>
    <w:rsid w:val="142578BB"/>
    <w:rsid w:val="15550D37"/>
    <w:rsid w:val="16AA47FC"/>
    <w:rsid w:val="17120E6F"/>
    <w:rsid w:val="1A3C69D2"/>
    <w:rsid w:val="1AC612CA"/>
    <w:rsid w:val="1B2304CB"/>
    <w:rsid w:val="1B2472A5"/>
    <w:rsid w:val="1BEE12D0"/>
    <w:rsid w:val="1D6729C1"/>
    <w:rsid w:val="1D7D1A93"/>
    <w:rsid w:val="1EA4781E"/>
    <w:rsid w:val="1EA57449"/>
    <w:rsid w:val="20901204"/>
    <w:rsid w:val="20ED1441"/>
    <w:rsid w:val="21C368CD"/>
    <w:rsid w:val="237F0D8D"/>
    <w:rsid w:val="283D7E81"/>
    <w:rsid w:val="2919115F"/>
    <w:rsid w:val="2BB4540C"/>
    <w:rsid w:val="2C0B3FB4"/>
    <w:rsid w:val="2C0E4DE8"/>
    <w:rsid w:val="2E032402"/>
    <w:rsid w:val="2F9B7705"/>
    <w:rsid w:val="302B680E"/>
    <w:rsid w:val="34886486"/>
    <w:rsid w:val="35BC62B2"/>
    <w:rsid w:val="35C2100A"/>
    <w:rsid w:val="38D61AF4"/>
    <w:rsid w:val="3949339B"/>
    <w:rsid w:val="3AEC20B1"/>
    <w:rsid w:val="3AFA4E24"/>
    <w:rsid w:val="3B3D0F47"/>
    <w:rsid w:val="3B9832D5"/>
    <w:rsid w:val="3DCA730B"/>
    <w:rsid w:val="3E971F23"/>
    <w:rsid w:val="3F041229"/>
    <w:rsid w:val="41391167"/>
    <w:rsid w:val="44D4210E"/>
    <w:rsid w:val="45837C34"/>
    <w:rsid w:val="48932C1C"/>
    <w:rsid w:val="4A4A2ACF"/>
    <w:rsid w:val="4AE87284"/>
    <w:rsid w:val="4E597784"/>
    <w:rsid w:val="4F7F4A57"/>
    <w:rsid w:val="4FCB3005"/>
    <w:rsid w:val="529E063C"/>
    <w:rsid w:val="54522561"/>
    <w:rsid w:val="56222527"/>
    <w:rsid w:val="56A813F9"/>
    <w:rsid w:val="58A170DE"/>
    <w:rsid w:val="5D91720B"/>
    <w:rsid w:val="5E2955C4"/>
    <w:rsid w:val="5FD7300A"/>
    <w:rsid w:val="60D92DEC"/>
    <w:rsid w:val="620E6798"/>
    <w:rsid w:val="62AB0F75"/>
    <w:rsid w:val="63A1699D"/>
    <w:rsid w:val="651976FD"/>
    <w:rsid w:val="65A82CE4"/>
    <w:rsid w:val="66287D10"/>
    <w:rsid w:val="668B29F7"/>
    <w:rsid w:val="687A4CB1"/>
    <w:rsid w:val="691478BE"/>
    <w:rsid w:val="6A784447"/>
    <w:rsid w:val="6AA16063"/>
    <w:rsid w:val="6B36596E"/>
    <w:rsid w:val="6B4C0242"/>
    <w:rsid w:val="6C5649A7"/>
    <w:rsid w:val="6D8F5A44"/>
    <w:rsid w:val="70194B6E"/>
    <w:rsid w:val="70355DF9"/>
    <w:rsid w:val="7107355E"/>
    <w:rsid w:val="710A68B4"/>
    <w:rsid w:val="71D74023"/>
    <w:rsid w:val="748B659A"/>
    <w:rsid w:val="7621477C"/>
    <w:rsid w:val="77BA4E88"/>
    <w:rsid w:val="783E1615"/>
    <w:rsid w:val="792C3D10"/>
    <w:rsid w:val="7C2C4586"/>
    <w:rsid w:val="7D5A3802"/>
    <w:rsid w:val="7D7752AC"/>
    <w:rsid w:val="7EF4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A468FC4"/>
  <w15:docId w15:val="{795B4F2A-11C6-4808-855E-9917A85B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="0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Times New Roman" w:hint="eastAsia"/>
      <w:lang w:eastAsia="zh-CN"/>
    </w:rPr>
  </w:style>
  <w:style w:type="paragraph" w:styleId="a3">
    <w:name w:val="Normal (Web)"/>
    <w:basedOn w:val="a"/>
    <w:qFormat/>
    <w:pPr>
      <w:spacing w:beforeAutospacing="1" w:after="0" w:afterAutospacing="1"/>
    </w:pPr>
    <w:rPr>
      <w:rFonts w:cs="Times New Roman"/>
      <w:lang w:eastAsia="zh-CN"/>
    </w:rPr>
  </w:style>
  <w:style w:type="character" w:styleId="a4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table" w:customStyle="1" w:styleId="41">
    <w:name w:val="无格式表格 41"/>
    <w:basedOn w:val="a1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header"/>
    <w:basedOn w:val="a"/>
    <w:link w:val="a6"/>
    <w:rsid w:val="00727A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27AE7"/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styleId="a7">
    <w:name w:val="footer"/>
    <w:basedOn w:val="a"/>
    <w:link w:val="a8"/>
    <w:rsid w:val="00727AE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27AE7"/>
    <w:rPr>
      <w:rFonts w:asciiTheme="minorHAnsi" w:eastAsiaTheme="minorHAnsi" w:hAnsiTheme="minorHAnsi" w:cstheme="min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981</Words>
  <Characters>5959</Characters>
  <Application>Microsoft Office Word</Application>
  <DocSecurity>0</DocSecurity>
  <Lines>458</Lines>
  <Paragraphs>408</Paragraphs>
  <ScaleCrop>false</ScaleCrop>
  <Company/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</dc:creator>
  <cp:lastModifiedBy>Aurora</cp:lastModifiedBy>
  <cp:revision>6</cp:revision>
  <dcterms:created xsi:type="dcterms:W3CDTF">2025-02-27T18:16:00Z</dcterms:created>
  <dcterms:modified xsi:type="dcterms:W3CDTF">2026-05-18T01:28:00Z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eyJoZGlkIjoiYzRkZmMyOGJiYzQ1NGI5NzBlNzExNTIzNTM5ZWU1YjMiLCJ1c2VySWQiOiI2MTc0MTgxMzAifQ==</vt:lpwstr>
  </property>
  <property fmtid="{D5CDD505-2E9C-101B-9397-08002B2CF9AE}" pid="4" name="ICV">
    <vt:lpwstr>EEC3B84D439847539F87F030F6973950_12</vt:lpwstr>
  </property>
  <property fmtid="{D5CDD505-2E9C-101B-9397-08002B2CF9AE}" pid="5" name="GrammarlyDocumentId">
    <vt:lpwstr>f9fb66da-05ee-479d-8941-aef4afadece7</vt:lpwstr>
  </property>
</Properties>
</file>